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sz w:val="30"/>
          <w:szCs w:val="30"/>
        </w:rPr>
        <w:t>十堰市妇幼保健院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新院区医养婴幼儿照护中心设计装修施工项目</w:t>
      </w:r>
      <w:r>
        <w:rPr>
          <w:rFonts w:hint="eastAsia" w:ascii="黑体" w:hAnsi="黑体" w:eastAsia="黑体"/>
          <w:b/>
          <w:sz w:val="30"/>
          <w:szCs w:val="30"/>
        </w:rPr>
        <w:t>招标采购技术参数表</w:t>
      </w:r>
    </w:p>
    <w:tbl>
      <w:tblPr>
        <w:tblStyle w:val="6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630"/>
        <w:gridCol w:w="147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7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30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 w:eastAsia="zh-CN"/>
              </w:rPr>
              <w:t>新院区医养婴幼儿照护中心装修设计施工总承包项目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339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□市内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国内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27" w:hRule="exact"/>
        </w:trPr>
        <w:tc>
          <w:tcPr>
            <w:tcW w:w="1944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描述</w:t>
            </w:r>
          </w:p>
        </w:tc>
        <w:tc>
          <w:tcPr>
            <w:tcW w:w="84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项目位于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十堰市茅箭区林荫大道256号，住院综合楼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2楼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及室外活动场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建筑面积约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1257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㎡，主要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十堰市妇幼保健院医养婴幼儿照护中心装修设计施工总承包（EPC）项目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提供施工图设计、工程施工及所有承包范围内竣工验收达到合格、整体移交、工程缺陷责任期内的缺陷修复和保修工作以及要求的其它工作内容，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合同履行期限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为自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合同签订后45日历天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9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4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设计质量要求：符合设计规范及相关标准要求。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2、施工质量要求：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合格，符合现行质量验收规范和标准及施工图纸要求，一次性通过验收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、设计内容及要求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.1按相关要求完成施工图设计，并完成施工图审查及审查后的修改工作。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.2配合完成其他与设计相关工作，负责提供汇报材料（包括电子版文件）。设计成果按A3规格印制、装订（A3彩图，5套)。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.3解答施工过程中施工承包人有关施工图的问题，项目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及时对施工中与设计有关的问题做出回应，保证设计满足施工要求。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.4根据采购人要求，及时参加与设计有关的专题会，现场解决技术问题。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.5协助采购人处理工程洽谈和设计变更，负责有关设计修改，及时办理相关手续。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.6参与与设计相关的必要的验收以及项目竣工验收工作，并及时办理相关手续。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7设计方应在工程最高限价范围内做好限额设计工作，并有义务将节约投资的新技术、新工艺、新型材料等用于施工图设计中，同时对于可能导致投资增加的变更、措施调整、工期调整、运营成本调整等应事先报告采购人，经采购人同意后方可实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、对设计服务要求的承诺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.1当采购人有技术咨询时必须24小时内响应解答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并无条件根据采购人要求到现场给予技术协助。现场服务次数、时间及方式由采购人根据项目需要确定，费用包含在总价当中，对于采购人提出现场服务的要求，中标人不得由于自身理由而拒绝。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.2根据采购人要求提供各类形式和版本的电子文件，本工程设计包括施工图设计以及后续工程期间相关技术服务等。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bookmarkStart w:id="0" w:name="_Toc22082"/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施工要求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完成设计图纸范围内的所有施工。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按照施工图设计文件和合同约定，编制施工图预算并进行施工，施工质量达到国家合格标准。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施工应符合国家和地方现行最新规范、规程、标准的规定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本项目建设标准、设计施工技术规范等不得低于本项目初步设计中规定的标准及规范。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本工程采用工程量清单方式管理。承包人需提供经主管部门审批的图审机构审查合格的施工设计图纸，规范编制工程量清单及施工图预算，经发包人确认后报送财政投资评审中心审核，依据财政评审中心审定的施工图预算，并结合承包人报价费率确定设计费和施工建安费的合同价，作为期中计量支付依据；最终结算以政府审计部门最终审核结果为基数，结合承包人报价费率确定最终结算价。</w:t>
            </w:r>
          </w:p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6A4C"/>
    <w:rsid w:val="1A4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</cp:lastModifiedBy>
  <dcterms:modified xsi:type="dcterms:W3CDTF">2021-11-26T02:51:49Z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