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自体血液回收机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自体血液回收是一项成熟的血液保护技术，能有效的提高我院血液管理水平，降低输血引起的医疗风险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保证医疗质量和安全。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138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9054" w:type="dxa"/>
            <w:vAlign w:val="top"/>
          </w:tcPr>
          <w:p>
            <w:pPr>
              <w:spacing w:line="276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“*”</w:t>
            </w:r>
            <w:r>
              <w:rPr>
                <w:rFonts w:hint="eastAsia"/>
                <w:b/>
                <w:bCs/>
              </w:rPr>
              <w:t>核心参数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自体血液回收机设备产地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限中国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*1、具有原血无残留技术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符合产科应用指南的要求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*2、具有四种操作模式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自动模式(自动启停系统\自动检测清洗质量系统\自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动保护红细胞完整系统\自动控制清洁度系统)、手动模式、紧急模式（15秒内可实现连续回输）、应急模式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*3、界面显示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120°大视角液晶触摸显示屏（10.4寸）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可180度旋转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图文数据显示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中文操作界面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*4、具有全球独有的三个蠕动泵设计结构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并提供专利证书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5、血液回输成分:红细胞、全血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6、双CPU系统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显示和处理速度成倍增加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7、软件具有更高更多样化的升级空间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功能强大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8、在线帮助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实时教程视频指导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9、具有内置常见故障排除系统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10、自体血液回输常规处理时间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3-5分钟/周期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11、紧急模式血液处理时间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15秒内可实现连续回输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一体化智能显示终端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多种功能性触键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触摸屏独立控制系统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反应迅速灵敏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、设备内置标准打印机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能够打印病人数据长久保存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可存储壹万例以上的数据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并可导出。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、设备具有断电保护功能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接入电源后能够继续断电前的工作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、具有防红细胞流失自动调节功能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、红细胞回收率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≥96%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、回收后血球压积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≥55%</w:t>
            </w:r>
          </w:p>
          <w:p>
            <w:pPr>
              <w:tabs>
                <w:tab w:val="right" w:pos="830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、肝素清洗率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≥98%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、标准清洗液用量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1000ml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、离心机最高转速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5650转/分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、蠕动泵流量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0-1000ml/分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、血液成分分离功能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、具有气泡检测功能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、具有红细胞血层检测功能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、具有自动启动进血功能（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有上称重传感器自动启动系统）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、具有离心杯漏液检测功能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并自动启动停机保护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、具有血液洗净度检测功能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、具有离心井盖锁检测功能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09EC348D"/>
    <w:rsid w:val="13F66CE7"/>
    <w:rsid w:val="15E81163"/>
    <w:rsid w:val="20B85C82"/>
    <w:rsid w:val="359A28C0"/>
    <w:rsid w:val="380428DF"/>
    <w:rsid w:val="443759AF"/>
    <w:rsid w:val="4776488B"/>
    <w:rsid w:val="50FF0090"/>
    <w:rsid w:val="527E2C2B"/>
    <w:rsid w:val="65537CE6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2021-11-02T08:44:58Z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