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装修要求及设备技术参数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79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5"/>
        <w:gridCol w:w="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1"/>
              </w:numPr>
              <w:spacing w:line="300" w:lineRule="exact"/>
              <w:ind w:left="0" w:leftChars="0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提供完整的装修设计图纸，效果图。装修改造设计方案的视觉效果、严格按照施工方案及图纸施工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出具施工项目清单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2、施工进度安排的具体性、完整性、创新性及进度保证措施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1、LED显示屏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显示屏尺寸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3.29*1.85=6.0865㎡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像素点间距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2.5±0.05mm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（2）刷新率   28/00/3200Hz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（3）平均无故障时间  MTBF平均无故障时间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2000h；MTTR平均修复时间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（4）噪音 1m范围内，测试4个位置（前后左右）噪音不大于2dB；抗干扰  符合IEC801规定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（5）电子大屏，必需提供由CNAS、ILAC-MRA认证的第三方专业机构出具的检测报告复印件，并加盖制造厂商公章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2、控制接收系统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（1）集成HUB75，无需再配转接板。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（2）支持14bit精度的色度、亮度一体化逐点校正；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（3）支持静态屏、1/2-1/64扫之间的任意扫描类型；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（4）支持任意抽点，支持数据偏移，可轻松实现各种异型屏、球形屏、创意显示屏；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 w:cs="Times New Roman"/>
                <w:b/>
                <w:bCs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（5）为保证信号传输的稳定性，接收卡需支持一帧延迟，发送端到显示端延迟达到一帧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3、处理器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（1）最大输入分辨率1920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1200@60Hz，支持分辨率任意设置；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（2）最大带载260万像素，最宽可达4096点，或最高可达2560点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（3）支持视频源任意切换，缩放和裁剪；支持画面偏移；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4、音箱系统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音箱2对，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参数：低音单元12寸65芯156磁、高音44芯；全喷漆、高密度中纤板，额定功率（RMS）300W峰值功率：600w；灵敏度（1m/1W):99db；频率响应（-3db）：65Hz-18KHz；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（2）6频响:+0.5dB/-0.5dB(20hZ-20kHz)；总谐波失真；0.03%@+14dBu(20Hz-20kHz)  输入通道：12通道：单声道：4；立体声：4  输出通道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（3）通道数：数字四通道  最大频偏：±15kHz 综合失真：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0.02%  频率稳定度：±0.03%  工作距离：100米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6" w:type="dxa"/>
          <w:trHeight w:val="323" w:hRule="atLeast"/>
          <w:jc w:val="center"/>
        </w:trPr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5、办公家具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6"/>
              <w:widowControl/>
              <w:spacing w:before="0" w:after="0" w:line="240" w:lineRule="auto"/>
              <w:ind w:left="0" w:right="0" w:firstLine="0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  <w:t>大型会议桌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/>
              </w:rPr>
              <w:t>长方型会议桌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  <w:t>1张</w:t>
            </w: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/>
              </w:rPr>
              <w:t>尺寸5m×1.5m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  <w:t xml:space="preserve">；演讲台1张；小会议桌6张； </w:t>
            </w:r>
          </w:p>
          <w:p>
            <w:pPr>
              <w:pStyle w:val="6"/>
              <w:widowControl/>
              <w:spacing w:before="0" w:after="0" w:line="240" w:lineRule="auto"/>
              <w:ind w:left="0" w:right="0" w:firstLine="0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/>
              </w:rPr>
              <w:t>（1）技术参数：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="0" w:after="0" w:line="240" w:lineRule="auto"/>
              <w:ind w:left="0" w:right="0" w:firstLine="0"/>
              <w:jc w:val="left"/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面∶采用优质胡桃木，厚度0.6mm; 采用优质环保白乳胶粘压拼接，纹路细致，美观。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="0" w:after="0" w:line="240" w:lineRule="auto"/>
              <w:ind w:left="0" w:leftChars="0" w:right="0" w:rightChars="0" w:firstLineChars="0"/>
              <w:jc w:val="left"/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封边∶ 采用优质与贴面相同的木材。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before="0" w:after="0" w:line="240" w:lineRule="auto"/>
              <w:ind w:left="0" w:leftChars="0" w:right="0" w:rightChars="0" w:firstLineChars="0"/>
              <w:jc w:val="left"/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基材∶采用优质环保E1级中纤板，甲醛释放量≤ 1.2ng/L，经防虫、防腐等化学处理，各项性能指标符合国家标准。</w:t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spacing w:before="0" w:after="0" w:line="240" w:lineRule="auto"/>
              <w:ind w:left="0" w:leftChars="0" w:right="0" w:rightChars="0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4、油漆∶面漆采用国家标准环保聚脂漆，四道底漆，三道面漆，7道工序喷漆工艺处理。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（2）会议椅40把  材质：不锈钢网布椅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6" w:type="dxa"/>
          <w:trHeight w:val="323" w:hRule="atLeast"/>
          <w:jc w:val="center"/>
        </w:trPr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highlight w:val="yellow"/>
                <w:lang w:val="en-US" w:eastAsia="zh-CN" w:bidi="ar-SA"/>
              </w:rPr>
              <w:t>6、装修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地砖：吸水厚度膨胀率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18%；表面胶合强度平均值：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1.0MPa；内结合强度  平均值：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1.0MPa；表面耐磨度：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4000转；甲醛释放量：E1: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0.124mg/m³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（2）吸音板：吸音效果达到25-30dB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spacing w:val="-8"/>
                <w:kern w:val="0"/>
                <w:sz w:val="24"/>
                <w:szCs w:val="24"/>
                <w:lang w:val="en-US" w:eastAsia="zh-CN" w:bidi="ar-SA"/>
              </w:rPr>
              <w:t>（3）吊顶采用吕单板吊顶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）顶灯：6组 ； 技术要求：色温6500；光通度1100±10%；功率：32±10%；功率因素</w:t>
            </w:r>
            <w:r>
              <w:rPr>
                <w:rStyle w:val="5"/>
                <w:rFonts w:ascii="Arial" w:hAnsi="Arial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0.5；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）窗帘、窗纱；2层布局，一层纱 、 一层布衣遮光 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both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）人脸识别门禁三套:各出入口控制点可配置统一的开放时间；人脸注册：将测试基础数据库人脸图像导入进行批量注册；支持活体检测功能，支持手机照片、打印照片和视频防假;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(</w:t>
            </w:r>
            <w:r>
              <w:rPr>
                <w:rStyle w:val="5"/>
                <w:rFonts w:hint="eastAsia"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Style w:val="5"/>
                <w:rFonts w:ascii="宋体" w:hAnsi="宋体" w:eastAsia="宋体"/>
                <w:spacing w:val="-8"/>
                <w:kern w:val="0"/>
                <w:sz w:val="24"/>
                <w:szCs w:val="24"/>
                <w:lang w:val="en-US" w:eastAsia="zh-CN" w:bidi="ar-SA"/>
              </w:rPr>
              <w:t>）电路改造：具备双回路电源自动切换；具有可靠的备用电源，保证紧急情况下不间断供电；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30B88"/>
    <w:multiLevelType w:val="singleLevel"/>
    <w:tmpl w:val="99D30B88"/>
    <w:lvl w:ilvl="0" w:tentative="0">
      <w:start w:val="1"/>
      <w:numFmt w:val="decimal"/>
      <w:suff w:val="nothing"/>
      <w:lvlText w:val="（%1）"/>
      <w:lvlJc w:val="left"/>
      <w:pPr>
        <w:widowControl/>
        <w:spacing w:line="240" w:lineRule="auto"/>
      </w:pPr>
      <w:rPr>
        <w:rStyle w:val="5"/>
      </w:rPr>
    </w:lvl>
  </w:abstractNum>
  <w:abstractNum w:abstractNumId="1">
    <w:nsid w:val="AF31B50C"/>
    <w:multiLevelType w:val="singleLevel"/>
    <w:tmpl w:val="AF31B50C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</w:pPr>
      <w:rPr>
        <w:rStyle w:val="5"/>
      </w:rPr>
    </w:lvl>
  </w:abstractNum>
  <w:abstractNum w:abstractNumId="2">
    <w:nsid w:val="BAC06FA8"/>
    <w:multiLevelType w:val="singleLevel"/>
    <w:tmpl w:val="BAC06FA8"/>
    <w:lvl w:ilvl="0" w:tentative="0">
      <w:start w:val="1"/>
      <w:numFmt w:val="decimal"/>
      <w:suff w:val="nothing"/>
      <w:lvlText w:val="%1、"/>
      <w:lvlJc w:val="left"/>
      <w:pPr>
        <w:widowControl/>
        <w:spacing w:line="240" w:lineRule="auto"/>
        <w:ind w:left="0"/>
      </w:pPr>
      <w:rPr>
        <w:rStyle w:val="5"/>
      </w:rPr>
    </w:lvl>
  </w:abstractNum>
  <w:abstractNum w:abstractNumId="3">
    <w:nsid w:val="35C94FA4"/>
    <w:multiLevelType w:val="singleLevel"/>
    <w:tmpl w:val="35C94FA4"/>
    <w:lvl w:ilvl="0" w:tentative="0">
      <w:start w:val="1"/>
      <w:numFmt w:val="decimal"/>
      <w:suff w:val="nothing"/>
      <w:lvlText w:val="（%1）"/>
      <w:lvlJc w:val="left"/>
      <w:pPr>
        <w:widowControl/>
        <w:spacing w:line="240" w:lineRule="auto"/>
      </w:pPr>
      <w:rPr>
        <w:rStyle w:val="5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60B9"/>
    <w:rsid w:val="18A47FDD"/>
    <w:rsid w:val="24D71CCD"/>
    <w:rsid w:val="330C60B9"/>
    <w:rsid w:val="4C082120"/>
    <w:rsid w:val="4FFD7C96"/>
    <w:rsid w:val="7F6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spacing w:line="240" w:lineRule="auto"/>
      <w:ind w:firstLine="420" w:firstLineChars="200"/>
      <w:jc w:val="both"/>
    </w:pPr>
    <w:rPr>
      <w:rFonts w:ascii="Times New Roman" w:hAnsi="Times New Roman" w:eastAsia="宋体"/>
      <w:kern w:val="2"/>
      <w:sz w:val="28"/>
      <w:szCs w:val="22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HtmlNormal"/>
    <w:basedOn w:val="1"/>
    <w:qFormat/>
    <w:uiPriority w:val="0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2021-05-11T09:41:00Z</dcterms:created>
  <dc:creator>涂隆波</dc:creator>
  <cp:lastModifiedBy>空</cp:lastModifiedBy>
  <cp:lastPrinted>2021-05-11T09:54:00Z</cp:lastPrinted>
  <dcterms:modified xsi:type="dcterms:W3CDTF">2021-08-02T00:30:55Z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7FEF196F05124BD1AC11B330BBBAFF6D</vt:lpwstr>
  </property>
</Properties>
</file>