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30" w:type="dxa"/>
          <w:right w:w="30" w:type="dxa"/>
        </w:tblCellMar>
        <w:tblLook w:val="0000"/>
      </w:tblPr>
      <w:tblGrid>
        <w:gridCol w:w="9512"/>
      </w:tblGrid>
      <w:tr w:rsidR="005D64B0">
        <w:tblPrEx>
          <w:tblCellMar>
            <w:top w:w="0" w:type="dxa"/>
            <w:bottom w:w="0" w:type="dxa"/>
          </w:tblCellMar>
        </w:tblPrEx>
        <w:trPr>
          <w:trHeight w:val="612"/>
        </w:trPr>
        <w:tc>
          <w:tcPr>
            <w:tcW w:w="9512" w:type="dxa"/>
            <w:tcBorders>
              <w:top w:val="nil"/>
              <w:left w:val="nil"/>
              <w:bottom w:val="nil"/>
              <w:right w:val="nil"/>
            </w:tcBorders>
          </w:tcPr>
          <w:p w:rsidR="005D64B0" w:rsidRDefault="005D64B0">
            <w:pPr>
              <w:autoSpaceDE w:val="0"/>
              <w:autoSpaceDN w:val="0"/>
              <w:adjustRightInd w:val="0"/>
              <w:jc w:val="center"/>
              <w:rPr>
                <w:rFonts w:ascii="黑体" w:eastAsia="黑体" w:cs="黑体"/>
                <w:color w:val="000000"/>
                <w:kern w:val="0"/>
                <w:sz w:val="24"/>
                <w:szCs w:val="24"/>
              </w:rPr>
            </w:pPr>
            <w:r>
              <w:rPr>
                <w:rFonts w:ascii="黑体" w:eastAsia="黑体" w:cs="黑体" w:hint="eastAsia"/>
                <w:color w:val="000000"/>
                <w:kern w:val="0"/>
                <w:sz w:val="24"/>
                <w:szCs w:val="24"/>
              </w:rPr>
              <w:t>生物组织包埋机具体要求及技术参数</w:t>
            </w:r>
          </w:p>
        </w:tc>
      </w:tr>
      <w:tr w:rsidR="005D64B0">
        <w:tblPrEx>
          <w:tblCellMar>
            <w:top w:w="0" w:type="dxa"/>
            <w:bottom w:w="0" w:type="dxa"/>
          </w:tblCellMar>
        </w:tblPrEx>
        <w:trPr>
          <w:trHeight w:val="508"/>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b/>
                <w:bCs/>
                <w:color w:val="000000"/>
                <w:kern w:val="0"/>
                <w:sz w:val="24"/>
                <w:szCs w:val="24"/>
              </w:rPr>
            </w:pPr>
            <w:r>
              <w:rPr>
                <w:rFonts w:ascii="仿宋" w:eastAsia="仿宋" w:cs="仿宋" w:hint="eastAsia"/>
                <w:b/>
                <w:bCs/>
                <w:color w:val="000000"/>
                <w:kern w:val="0"/>
                <w:sz w:val="24"/>
                <w:szCs w:val="24"/>
              </w:rPr>
              <w:t>一、主要功能描述</w:t>
            </w:r>
          </w:p>
        </w:tc>
      </w:tr>
      <w:tr w:rsidR="005D64B0">
        <w:tblPrEx>
          <w:tblCellMar>
            <w:top w:w="0" w:type="dxa"/>
            <w:bottom w:w="0" w:type="dxa"/>
          </w:tblCellMar>
        </w:tblPrEx>
        <w:trPr>
          <w:trHeight w:val="736"/>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 xml:space="preserve">    </w:t>
            </w:r>
            <w:r>
              <w:rPr>
                <w:rFonts w:ascii="仿宋" w:eastAsia="仿宋" w:cs="仿宋" w:hint="eastAsia"/>
                <w:color w:val="000000"/>
                <w:kern w:val="0"/>
                <w:sz w:val="24"/>
                <w:szCs w:val="24"/>
              </w:rPr>
              <w:t>石蜡包埋机主要用于医院病理科对人体标本经脱水浸蜡后进行组织蜡块包埋，以供切片后作组织学诊断或研究的设备。</w:t>
            </w:r>
          </w:p>
        </w:tc>
      </w:tr>
      <w:tr w:rsidR="005D64B0">
        <w:tblPrEx>
          <w:tblCellMar>
            <w:top w:w="0" w:type="dxa"/>
            <w:bottom w:w="0" w:type="dxa"/>
          </w:tblCellMar>
        </w:tblPrEx>
        <w:trPr>
          <w:trHeight w:val="508"/>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b/>
                <w:bCs/>
                <w:color w:val="000000"/>
                <w:kern w:val="0"/>
                <w:sz w:val="24"/>
                <w:szCs w:val="24"/>
              </w:rPr>
            </w:pPr>
            <w:r>
              <w:rPr>
                <w:rFonts w:ascii="仿宋" w:eastAsia="仿宋" w:cs="仿宋" w:hint="eastAsia"/>
                <w:b/>
                <w:bCs/>
                <w:color w:val="000000"/>
                <w:kern w:val="0"/>
                <w:sz w:val="24"/>
                <w:szCs w:val="24"/>
              </w:rPr>
              <w:t>二、主要技术参数</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1.</w:t>
            </w:r>
            <w:r>
              <w:rPr>
                <w:rFonts w:ascii="仿宋" w:eastAsia="仿宋" w:cs="仿宋" w:hint="eastAsia"/>
                <w:color w:val="000000"/>
                <w:kern w:val="0"/>
                <w:sz w:val="24"/>
                <w:szCs w:val="24"/>
              </w:rPr>
              <w:t>蜡缸容积：≥</w:t>
            </w:r>
            <w:r>
              <w:rPr>
                <w:rFonts w:ascii="仿宋" w:eastAsia="仿宋" w:cs="仿宋"/>
                <w:color w:val="000000"/>
                <w:kern w:val="0"/>
                <w:sz w:val="24"/>
                <w:szCs w:val="24"/>
              </w:rPr>
              <w:t>5L</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2.</w:t>
            </w:r>
            <w:r>
              <w:rPr>
                <w:rFonts w:ascii="仿宋" w:eastAsia="仿宋" w:cs="仿宋" w:hint="eastAsia"/>
                <w:color w:val="000000"/>
                <w:kern w:val="0"/>
                <w:sz w:val="24"/>
                <w:szCs w:val="24"/>
              </w:rPr>
              <w:t>熔蜡温度：室温</w:t>
            </w:r>
            <w:r>
              <w:rPr>
                <w:rFonts w:ascii="仿宋" w:eastAsia="仿宋" w:cs="仿宋"/>
                <w:color w:val="000000"/>
                <w:kern w:val="0"/>
                <w:sz w:val="24"/>
                <w:szCs w:val="24"/>
              </w:rPr>
              <w:t>~99</w:t>
            </w:r>
            <w:r>
              <w:rPr>
                <w:rFonts w:ascii="仿宋" w:eastAsia="仿宋" w:cs="仿宋" w:hint="eastAsia"/>
                <w:color w:val="000000"/>
                <w:kern w:val="0"/>
                <w:sz w:val="24"/>
                <w:szCs w:val="24"/>
              </w:rPr>
              <w:t>℃任意预置</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3.</w:t>
            </w:r>
            <w:r>
              <w:rPr>
                <w:rFonts w:ascii="仿宋" w:eastAsia="仿宋" w:cs="仿宋" w:hint="eastAsia"/>
                <w:color w:val="000000"/>
                <w:kern w:val="0"/>
                <w:sz w:val="24"/>
                <w:szCs w:val="24"/>
              </w:rPr>
              <w:t>冷台温度：室温</w:t>
            </w:r>
            <w:r>
              <w:rPr>
                <w:rFonts w:ascii="仿宋" w:eastAsia="仿宋" w:cs="仿宋"/>
                <w:color w:val="000000"/>
                <w:kern w:val="0"/>
                <w:sz w:val="24"/>
                <w:szCs w:val="24"/>
              </w:rPr>
              <w:t>~</w:t>
            </w:r>
            <w:r>
              <w:rPr>
                <w:rFonts w:ascii="仿宋" w:eastAsia="仿宋" w:cs="仿宋" w:hint="eastAsia"/>
                <w:color w:val="000000"/>
                <w:kern w:val="0"/>
                <w:sz w:val="24"/>
                <w:szCs w:val="24"/>
              </w:rPr>
              <w:t>－</w:t>
            </w:r>
            <w:r>
              <w:rPr>
                <w:rFonts w:ascii="仿宋" w:eastAsia="仿宋" w:cs="仿宋"/>
                <w:color w:val="000000"/>
                <w:kern w:val="0"/>
                <w:sz w:val="24"/>
                <w:szCs w:val="24"/>
              </w:rPr>
              <w:t>7</w:t>
            </w:r>
            <w:r>
              <w:rPr>
                <w:rFonts w:ascii="仿宋" w:eastAsia="仿宋" w:cs="仿宋" w:hint="eastAsia"/>
                <w:color w:val="000000"/>
                <w:kern w:val="0"/>
                <w:sz w:val="24"/>
                <w:szCs w:val="24"/>
              </w:rPr>
              <w:t>℃任意预置</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4.</w:t>
            </w:r>
            <w:r>
              <w:rPr>
                <w:rFonts w:ascii="仿宋" w:eastAsia="仿宋" w:cs="仿宋" w:hint="eastAsia"/>
                <w:color w:val="000000"/>
                <w:kern w:val="0"/>
                <w:sz w:val="24"/>
                <w:szCs w:val="24"/>
              </w:rPr>
              <w:t>时间控制：开关机时间可在北京时间任意设定</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5.</w:t>
            </w:r>
            <w:r>
              <w:rPr>
                <w:rFonts w:ascii="仿宋" w:eastAsia="仿宋" w:cs="仿宋" w:hint="eastAsia"/>
                <w:color w:val="000000"/>
                <w:kern w:val="0"/>
                <w:sz w:val="24"/>
                <w:szCs w:val="24"/>
              </w:rPr>
              <w:t>工作方式：自动软接触开关，脚动两种</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6.</w:t>
            </w:r>
            <w:r>
              <w:rPr>
                <w:rFonts w:ascii="仿宋" w:eastAsia="仿宋" w:cs="仿宋" w:hint="eastAsia"/>
                <w:color w:val="000000"/>
                <w:kern w:val="0"/>
                <w:sz w:val="24"/>
                <w:szCs w:val="24"/>
              </w:rPr>
              <w:t>控温方式：六路独立任意数字控温</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7.</w:t>
            </w:r>
            <w:r>
              <w:rPr>
                <w:rFonts w:ascii="仿宋" w:eastAsia="仿宋" w:cs="仿宋" w:hint="eastAsia"/>
                <w:color w:val="000000"/>
                <w:kern w:val="0"/>
                <w:sz w:val="24"/>
                <w:szCs w:val="24"/>
              </w:rPr>
              <w:t>镊子加温孔：六个</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8.</w:t>
            </w:r>
            <w:r>
              <w:rPr>
                <w:rFonts w:ascii="仿宋" w:eastAsia="仿宋" w:cs="仿宋" w:hint="eastAsia"/>
                <w:color w:val="000000"/>
                <w:kern w:val="0"/>
                <w:sz w:val="24"/>
                <w:szCs w:val="24"/>
              </w:rPr>
              <w:t>残物蜡回收方式：自动回流至废液缸。</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9.</w:t>
            </w:r>
            <w:r>
              <w:rPr>
                <w:rFonts w:ascii="仿宋" w:eastAsia="仿宋" w:cs="仿宋" w:hint="eastAsia"/>
                <w:color w:val="000000"/>
                <w:kern w:val="0"/>
                <w:sz w:val="24"/>
                <w:szCs w:val="24"/>
              </w:rPr>
              <w:t>照明方式：冷光源无影照明</w:t>
            </w:r>
            <w:r>
              <w:rPr>
                <w:rFonts w:ascii="仿宋" w:eastAsia="仿宋" w:cs="仿宋"/>
                <w:color w:val="000000"/>
                <w:kern w:val="0"/>
                <w:sz w:val="24"/>
                <w:szCs w:val="24"/>
              </w:rPr>
              <w:t>(</w:t>
            </w:r>
            <w:r>
              <w:rPr>
                <w:rFonts w:ascii="仿宋" w:eastAsia="仿宋" w:cs="仿宋" w:hint="eastAsia"/>
                <w:color w:val="000000"/>
                <w:kern w:val="0"/>
                <w:sz w:val="24"/>
                <w:szCs w:val="24"/>
              </w:rPr>
              <w:t>国家专利</w:t>
            </w:r>
            <w:r>
              <w:rPr>
                <w:rFonts w:ascii="仿宋" w:eastAsia="仿宋" w:cs="仿宋"/>
                <w:color w:val="000000"/>
                <w:kern w:val="0"/>
                <w:sz w:val="24"/>
                <w:szCs w:val="24"/>
              </w:rPr>
              <w:t>)</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10.</w:t>
            </w:r>
            <w:r>
              <w:rPr>
                <w:rFonts w:ascii="仿宋" w:eastAsia="仿宋" w:cs="仿宋" w:hint="eastAsia"/>
                <w:color w:val="000000"/>
                <w:kern w:val="0"/>
                <w:sz w:val="24"/>
                <w:szCs w:val="24"/>
              </w:rPr>
              <w:t>环境温度：</w:t>
            </w:r>
            <w:r>
              <w:rPr>
                <w:rFonts w:ascii="仿宋" w:eastAsia="仿宋" w:cs="仿宋"/>
                <w:color w:val="000000"/>
                <w:kern w:val="0"/>
                <w:sz w:val="24"/>
                <w:szCs w:val="24"/>
              </w:rPr>
              <w:t>0~40</w:t>
            </w:r>
            <w:r>
              <w:rPr>
                <w:rFonts w:ascii="仿宋" w:eastAsia="仿宋" w:cs="仿宋" w:hint="eastAsia"/>
                <w:color w:val="000000"/>
                <w:kern w:val="0"/>
                <w:sz w:val="24"/>
                <w:szCs w:val="24"/>
              </w:rPr>
              <w:t>℃</w:t>
            </w:r>
          </w:p>
        </w:tc>
      </w:tr>
      <w:tr w:rsidR="005D64B0">
        <w:tblPrEx>
          <w:tblCellMar>
            <w:top w:w="0" w:type="dxa"/>
            <w:bottom w:w="0" w:type="dxa"/>
          </w:tblCellMar>
        </w:tblPrEx>
        <w:trPr>
          <w:trHeight w:val="572"/>
        </w:trPr>
        <w:tc>
          <w:tcPr>
            <w:tcW w:w="9512" w:type="dxa"/>
            <w:tcBorders>
              <w:top w:val="nil"/>
              <w:left w:val="nil"/>
              <w:bottom w:val="nil"/>
              <w:right w:val="nil"/>
            </w:tcBorders>
          </w:tcPr>
          <w:p w:rsidR="005D64B0" w:rsidRDefault="005D64B0">
            <w:pPr>
              <w:autoSpaceDE w:val="0"/>
              <w:autoSpaceDN w:val="0"/>
              <w:adjustRightInd w:val="0"/>
              <w:jc w:val="left"/>
              <w:rPr>
                <w:rFonts w:ascii="仿宋" w:eastAsia="仿宋" w:cs="仿宋"/>
                <w:color w:val="000000"/>
                <w:kern w:val="0"/>
                <w:sz w:val="24"/>
                <w:szCs w:val="24"/>
              </w:rPr>
            </w:pPr>
            <w:r>
              <w:rPr>
                <w:rFonts w:ascii="仿宋" w:eastAsia="仿宋" w:cs="仿宋"/>
                <w:color w:val="000000"/>
                <w:kern w:val="0"/>
                <w:sz w:val="24"/>
                <w:szCs w:val="24"/>
              </w:rPr>
              <w:t>11.</w:t>
            </w:r>
            <w:r>
              <w:rPr>
                <w:rFonts w:ascii="仿宋" w:eastAsia="仿宋" w:cs="仿宋" w:hint="eastAsia"/>
                <w:color w:val="000000"/>
                <w:kern w:val="0"/>
                <w:sz w:val="24"/>
                <w:szCs w:val="24"/>
              </w:rPr>
              <w:t>电源：</w:t>
            </w:r>
            <w:r>
              <w:rPr>
                <w:rFonts w:ascii="仿宋" w:eastAsia="仿宋" w:cs="仿宋"/>
                <w:color w:val="000000"/>
                <w:kern w:val="0"/>
                <w:sz w:val="24"/>
                <w:szCs w:val="24"/>
              </w:rPr>
              <w:t>AC220V</w:t>
            </w:r>
            <w:r>
              <w:rPr>
                <w:rFonts w:ascii="仿宋" w:eastAsia="仿宋" w:cs="仿宋" w:hint="eastAsia"/>
                <w:color w:val="000000"/>
                <w:kern w:val="0"/>
                <w:sz w:val="24"/>
                <w:szCs w:val="24"/>
              </w:rPr>
              <w:t>±</w:t>
            </w:r>
            <w:r>
              <w:rPr>
                <w:rFonts w:ascii="仿宋" w:eastAsia="仿宋" w:cs="仿宋"/>
                <w:color w:val="000000"/>
                <w:kern w:val="0"/>
                <w:sz w:val="24"/>
                <w:szCs w:val="24"/>
              </w:rPr>
              <w:t>10%</w:t>
            </w:r>
            <w:r>
              <w:rPr>
                <w:rFonts w:ascii="仿宋" w:eastAsia="仿宋" w:cs="仿宋" w:hint="eastAsia"/>
                <w:color w:val="000000"/>
                <w:kern w:val="0"/>
                <w:sz w:val="24"/>
                <w:szCs w:val="24"/>
              </w:rPr>
              <w:t>，</w:t>
            </w:r>
            <w:r>
              <w:rPr>
                <w:rFonts w:ascii="仿宋" w:eastAsia="仿宋" w:cs="仿宋"/>
                <w:color w:val="000000"/>
                <w:kern w:val="0"/>
                <w:sz w:val="24"/>
                <w:szCs w:val="24"/>
              </w:rPr>
              <w:t>50HZ</w:t>
            </w:r>
            <w:r>
              <w:rPr>
                <w:rFonts w:ascii="仿宋" w:eastAsia="仿宋" w:cs="仿宋" w:hint="eastAsia"/>
                <w:color w:val="000000"/>
                <w:kern w:val="0"/>
                <w:sz w:val="24"/>
                <w:szCs w:val="24"/>
              </w:rPr>
              <w:t>±</w:t>
            </w:r>
            <w:r>
              <w:rPr>
                <w:rFonts w:ascii="仿宋" w:eastAsia="仿宋" w:cs="仿宋"/>
                <w:color w:val="000000"/>
                <w:kern w:val="0"/>
                <w:sz w:val="24"/>
                <w:szCs w:val="24"/>
              </w:rPr>
              <w:t>1HZ</w:t>
            </w:r>
          </w:p>
        </w:tc>
      </w:tr>
    </w:tbl>
    <w:p w:rsidR="00606B88" w:rsidRDefault="00606B88"/>
    <w:sectPr w:rsidR="00606B88" w:rsidSect="00606B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A63" w:rsidRDefault="00453A63" w:rsidP="005D64B0">
      <w:r>
        <w:separator/>
      </w:r>
    </w:p>
  </w:endnote>
  <w:endnote w:type="continuationSeparator" w:id="0">
    <w:p w:rsidR="00453A63" w:rsidRDefault="00453A63" w:rsidP="005D6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A63" w:rsidRDefault="00453A63" w:rsidP="005D64B0">
      <w:r>
        <w:separator/>
      </w:r>
    </w:p>
  </w:footnote>
  <w:footnote w:type="continuationSeparator" w:id="0">
    <w:p w:rsidR="00453A63" w:rsidRDefault="00453A63" w:rsidP="005D6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4B0"/>
    <w:rsid w:val="00453A63"/>
    <w:rsid w:val="0058009E"/>
    <w:rsid w:val="005D64B0"/>
    <w:rsid w:val="00606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4B0"/>
    <w:rPr>
      <w:sz w:val="18"/>
      <w:szCs w:val="18"/>
    </w:rPr>
  </w:style>
  <w:style w:type="paragraph" w:styleId="a4">
    <w:name w:val="footer"/>
    <w:basedOn w:val="a"/>
    <w:link w:val="Char0"/>
    <w:uiPriority w:val="99"/>
    <w:semiHidden/>
    <w:unhideWhenUsed/>
    <w:rsid w:val="005D64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4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Company>微软中国</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2018-11-21T03:03:00Z</dcterms:created>
  <dcterms:modified xsi:type="dcterms:W3CDTF">2018-11-21T03:04:00Z</dcterms:modified>
</cp:coreProperties>
</file>