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宋体" w:hAnsi="宋体"/>
          <w:b/>
          <w:sz w:val="24"/>
          <w:szCs w:val="24"/>
        </w:rPr>
      </w:pPr>
      <w:r>
        <w:rPr>
          <w:rFonts w:hint="eastAsia" w:ascii="宋体" w:hAnsi="宋体"/>
          <w:b/>
          <w:sz w:val="24"/>
          <w:szCs w:val="24"/>
        </w:rPr>
        <w:t>技术及服务要求</w:t>
      </w:r>
    </w:p>
    <w:p>
      <w:pPr>
        <w:spacing w:line="460" w:lineRule="exact"/>
        <w:jc w:val="center"/>
        <w:rPr>
          <w:rFonts w:ascii="宋体" w:hAnsi="宋体"/>
          <w:b/>
          <w:sz w:val="24"/>
          <w:szCs w:val="24"/>
        </w:rPr>
      </w:pPr>
    </w:p>
    <w:p>
      <w:pPr>
        <w:spacing w:line="460" w:lineRule="exact"/>
        <w:outlineLvl w:val="1"/>
        <w:rPr>
          <w:rFonts w:hint="eastAsia" w:ascii="宋体" w:hAnsi="宋体" w:eastAsia="宋体"/>
          <w:b/>
          <w:color w:val="000000"/>
          <w:sz w:val="24"/>
          <w:szCs w:val="24"/>
          <w:lang w:val="en-US" w:eastAsia="zh-CN"/>
        </w:rPr>
      </w:pPr>
      <w:r>
        <w:rPr>
          <w:rFonts w:hint="eastAsia" w:ascii="宋体" w:hAnsi="宋体"/>
          <w:b/>
          <w:color w:val="000000"/>
          <w:sz w:val="24"/>
          <w:szCs w:val="24"/>
        </w:rPr>
        <w:t>一、项目名称：信息系统安全等级保护测评</w:t>
      </w:r>
      <w:r>
        <w:rPr>
          <w:rFonts w:hint="eastAsia" w:ascii="宋体" w:hAnsi="宋体"/>
          <w:b/>
          <w:color w:val="000000"/>
          <w:sz w:val="24"/>
          <w:szCs w:val="24"/>
          <w:lang w:val="en-US" w:eastAsia="zh-CN"/>
        </w:rPr>
        <w:t>服务</w:t>
      </w:r>
    </w:p>
    <w:p>
      <w:pPr>
        <w:spacing w:line="460" w:lineRule="exact"/>
        <w:outlineLvl w:val="1"/>
        <w:rPr>
          <w:rFonts w:ascii="宋体" w:hAnsi="宋体"/>
          <w:b/>
          <w:color w:val="000000"/>
          <w:sz w:val="24"/>
          <w:szCs w:val="24"/>
        </w:rPr>
      </w:pPr>
      <w:r>
        <w:rPr>
          <w:rFonts w:hint="eastAsia" w:ascii="宋体" w:hAnsi="宋体"/>
          <w:b/>
          <w:color w:val="000000"/>
          <w:sz w:val="24"/>
          <w:szCs w:val="24"/>
        </w:rPr>
        <w:t>二、测评系统名称及要求</w:t>
      </w:r>
    </w:p>
    <w:tbl>
      <w:tblPr>
        <w:tblStyle w:val="4"/>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4919"/>
        <w:gridCol w:w="2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08" w:type="dxa"/>
          </w:tcPr>
          <w:p>
            <w:pPr>
              <w:spacing w:line="460" w:lineRule="exact"/>
              <w:jc w:val="center"/>
              <w:rPr>
                <w:rFonts w:ascii="宋体" w:hAnsi="宋体"/>
                <w:b/>
                <w:sz w:val="24"/>
                <w:szCs w:val="24"/>
              </w:rPr>
            </w:pPr>
            <w:r>
              <w:rPr>
                <w:rFonts w:hint="eastAsia" w:ascii="宋体" w:hAnsi="宋体"/>
                <w:b/>
                <w:sz w:val="24"/>
                <w:szCs w:val="24"/>
              </w:rPr>
              <w:t>序号</w:t>
            </w:r>
          </w:p>
        </w:tc>
        <w:tc>
          <w:tcPr>
            <w:tcW w:w="4919" w:type="dxa"/>
          </w:tcPr>
          <w:p>
            <w:pPr>
              <w:spacing w:line="460" w:lineRule="exact"/>
              <w:jc w:val="center"/>
              <w:rPr>
                <w:rFonts w:ascii="宋体" w:hAnsi="宋体"/>
                <w:b/>
                <w:sz w:val="24"/>
                <w:szCs w:val="24"/>
              </w:rPr>
            </w:pPr>
            <w:r>
              <w:rPr>
                <w:rFonts w:hint="eastAsia" w:ascii="宋体" w:hAnsi="宋体"/>
                <w:b/>
                <w:sz w:val="24"/>
                <w:szCs w:val="24"/>
              </w:rPr>
              <w:t>测评系统名称</w:t>
            </w:r>
          </w:p>
        </w:tc>
        <w:tc>
          <w:tcPr>
            <w:tcW w:w="2673" w:type="dxa"/>
          </w:tcPr>
          <w:p>
            <w:pPr>
              <w:spacing w:line="460" w:lineRule="exact"/>
              <w:jc w:val="center"/>
              <w:rPr>
                <w:rFonts w:ascii="宋体" w:hAnsi="宋体"/>
                <w:b/>
                <w:sz w:val="24"/>
                <w:szCs w:val="24"/>
              </w:rPr>
            </w:pPr>
            <w:r>
              <w:rPr>
                <w:rFonts w:hint="eastAsia" w:ascii="宋体" w:hAnsi="宋体"/>
                <w:b/>
                <w:sz w:val="24"/>
                <w:szCs w:val="24"/>
              </w:rPr>
              <w:t>测评等级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008" w:type="dxa"/>
            <w:vAlign w:val="center"/>
          </w:tcPr>
          <w:p>
            <w:pPr>
              <w:spacing w:line="460" w:lineRule="exact"/>
              <w:jc w:val="center"/>
              <w:rPr>
                <w:rFonts w:ascii="宋体" w:hAnsi="宋体"/>
                <w:sz w:val="24"/>
                <w:szCs w:val="24"/>
              </w:rPr>
            </w:pPr>
            <w:r>
              <w:rPr>
                <w:rFonts w:ascii="宋体" w:hAnsi="宋体"/>
                <w:sz w:val="24"/>
                <w:szCs w:val="24"/>
              </w:rPr>
              <w:t>1</w:t>
            </w:r>
          </w:p>
        </w:tc>
        <w:tc>
          <w:tcPr>
            <w:tcW w:w="4919" w:type="dxa"/>
            <w:vAlign w:val="center"/>
          </w:tcPr>
          <w:p>
            <w:pPr>
              <w:spacing w:line="460" w:lineRule="exact"/>
              <w:rPr>
                <w:rFonts w:ascii="宋体" w:hAnsi="宋体"/>
                <w:sz w:val="24"/>
                <w:szCs w:val="24"/>
              </w:rPr>
            </w:pPr>
            <w:r>
              <w:rPr>
                <w:rFonts w:hint="eastAsia" w:ascii="宋体" w:hAnsi="宋体"/>
                <w:sz w:val="24"/>
                <w:szCs w:val="24"/>
              </w:rPr>
              <w:t>电子病历系统（含电子医嘱及护理一体化）</w:t>
            </w:r>
          </w:p>
        </w:tc>
        <w:tc>
          <w:tcPr>
            <w:tcW w:w="2673" w:type="dxa"/>
            <w:vAlign w:val="center"/>
          </w:tcPr>
          <w:p>
            <w:pPr>
              <w:spacing w:line="460" w:lineRule="exact"/>
              <w:rPr>
                <w:rFonts w:ascii="宋体" w:hAnsi="宋体"/>
                <w:sz w:val="24"/>
                <w:szCs w:val="24"/>
              </w:rPr>
            </w:pPr>
            <w:r>
              <w:rPr>
                <w:rFonts w:hint="eastAsia" w:ascii="宋体" w:hAnsi="宋体"/>
                <w:sz w:val="24"/>
                <w:szCs w:val="24"/>
              </w:rPr>
              <w:t>三级</w:t>
            </w:r>
          </w:p>
        </w:tc>
      </w:tr>
    </w:tbl>
    <w:p>
      <w:pPr>
        <w:spacing w:line="46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、根据国家等级保护相关标准，投标人对以上的测评系统完成定级、备案、测评、协助整改、报备等工作；</w:t>
      </w:r>
      <w:r>
        <w:rPr>
          <w:rFonts w:ascii="宋体" w:hAnsi="宋体"/>
          <w:sz w:val="24"/>
          <w:szCs w:val="24"/>
        </w:rPr>
        <w:t xml:space="preserve"> </w:t>
      </w:r>
    </w:p>
    <w:p>
      <w:pPr>
        <w:spacing w:line="460" w:lineRule="exact"/>
        <w:ind w:firstLine="480" w:firstLineChars="200"/>
        <w:rPr>
          <w:rFonts w:ascii="宋体" w:hAnsi="宋体"/>
          <w:sz w:val="24"/>
          <w:szCs w:val="24"/>
        </w:rPr>
      </w:pPr>
      <w:r>
        <w:rPr>
          <w:rFonts w:hint="eastAsia" w:ascii="宋体" w:hAnsi="宋体"/>
          <w:sz w:val="24"/>
          <w:szCs w:val="24"/>
        </w:rPr>
        <w:t>2、在项目服务期内，提供漏洞扫描服务(不少于4次)、渗透测试服务(不少于2次)、等保安全培训服务(不少于1次)、安全咨询服务(按需不限次数)、应急响应服务。</w:t>
      </w:r>
    </w:p>
    <w:p>
      <w:pPr>
        <w:spacing w:line="460" w:lineRule="exact"/>
        <w:ind w:firstLine="480" w:firstLineChars="200"/>
        <w:rPr>
          <w:rFonts w:ascii="宋体" w:hAnsi="宋体"/>
          <w:sz w:val="24"/>
          <w:szCs w:val="24"/>
        </w:rPr>
      </w:pPr>
      <w:r>
        <w:rPr>
          <w:rFonts w:hint="eastAsia" w:ascii="宋体" w:hAnsi="宋体"/>
          <w:sz w:val="24"/>
          <w:szCs w:val="24"/>
        </w:rPr>
        <w:t>3、</w:t>
      </w:r>
      <w:bookmarkStart w:id="0" w:name="_Hlk147652843"/>
      <w:bookmarkStart w:id="1" w:name="_Hlk147652863"/>
      <w:r>
        <w:rPr>
          <w:rFonts w:hint="eastAsia" w:ascii="宋体" w:hAnsi="宋体"/>
          <w:sz w:val="24"/>
          <w:szCs w:val="24"/>
        </w:rPr>
        <w:t>对上述测评系统不符合信息安全等级保护有关管理规范和技术标准的，提出可行性整改方案并协助整改，在整改完成后对整改项进行再次测评；</w:t>
      </w:r>
      <w:bookmarkEnd w:id="0"/>
      <w:r>
        <w:rPr>
          <w:rFonts w:hint="eastAsia" w:ascii="宋体" w:hAnsi="宋体"/>
          <w:sz w:val="24"/>
          <w:szCs w:val="24"/>
        </w:rPr>
        <w:t>服务目标为项目目标最终通过公安部门及相关部门的等级保护检查要求，并取得公安部门备案证书。</w:t>
      </w:r>
    </w:p>
    <w:bookmarkEnd w:id="1"/>
    <w:p>
      <w:pPr>
        <w:spacing w:line="460" w:lineRule="exact"/>
        <w:rPr>
          <w:rFonts w:ascii="宋体" w:hAnsi="宋体"/>
          <w:b/>
          <w:sz w:val="24"/>
          <w:szCs w:val="24"/>
        </w:rPr>
      </w:pPr>
      <w:r>
        <w:rPr>
          <w:rFonts w:hint="eastAsia" w:ascii="宋体" w:hAnsi="宋体"/>
          <w:b/>
          <w:sz w:val="24"/>
          <w:szCs w:val="24"/>
        </w:rPr>
        <w:t>三、相关测评工作要求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7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shd w:val="clear" w:color="auto" w:fill="auto"/>
            <w:vAlign w:val="center"/>
          </w:tcPr>
          <w:p>
            <w:pPr>
              <w:spacing w:line="460" w:lineRule="exact"/>
              <w:jc w:val="center"/>
              <w:rPr>
                <w:rFonts w:ascii="宋体" w:hAnsi="宋体"/>
                <w:b/>
                <w:sz w:val="24"/>
                <w:szCs w:val="24"/>
              </w:rPr>
            </w:pPr>
            <w:r>
              <w:rPr>
                <w:rFonts w:hint="eastAsia" w:ascii="宋体" w:hAnsi="宋体"/>
                <w:b/>
                <w:sz w:val="24"/>
                <w:szCs w:val="24"/>
              </w:rPr>
              <w:t>序号</w:t>
            </w:r>
          </w:p>
        </w:tc>
        <w:tc>
          <w:tcPr>
            <w:tcW w:w="7472" w:type="dxa"/>
            <w:shd w:val="clear" w:color="auto" w:fill="auto"/>
            <w:vAlign w:val="center"/>
          </w:tcPr>
          <w:p>
            <w:pPr>
              <w:spacing w:line="460" w:lineRule="exact"/>
              <w:jc w:val="center"/>
              <w:rPr>
                <w:rFonts w:ascii="宋体" w:hAnsi="宋体"/>
                <w:b/>
                <w:sz w:val="24"/>
                <w:szCs w:val="24"/>
              </w:rPr>
            </w:pPr>
            <w:r>
              <w:rPr>
                <w:rFonts w:hint="eastAsia" w:ascii="宋体" w:hAnsi="宋体"/>
                <w:b/>
                <w:sz w:val="24"/>
                <w:szCs w:val="24"/>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2"/>
            <w:shd w:val="clear" w:color="auto" w:fill="auto"/>
          </w:tcPr>
          <w:p>
            <w:pPr>
              <w:spacing w:line="460" w:lineRule="exact"/>
              <w:rPr>
                <w:rFonts w:ascii="宋体" w:hAnsi="宋体"/>
                <w:b/>
                <w:sz w:val="24"/>
                <w:szCs w:val="24"/>
              </w:rPr>
            </w:pPr>
            <w:r>
              <w:rPr>
                <w:rFonts w:hint="eastAsia" w:ascii="宋体" w:hAnsi="宋体"/>
                <w:b/>
                <w:sz w:val="24"/>
                <w:szCs w:val="24"/>
              </w:rPr>
              <w:t>一、测评服务依据</w:t>
            </w:r>
          </w:p>
          <w:p>
            <w:pPr>
              <w:spacing w:line="460" w:lineRule="exact"/>
              <w:rPr>
                <w:rFonts w:ascii="宋体" w:hAnsi="宋体"/>
                <w:sz w:val="24"/>
                <w:szCs w:val="24"/>
              </w:rPr>
            </w:pPr>
            <w:r>
              <w:rPr>
                <w:rFonts w:hint="eastAsia" w:ascii="宋体" w:hAnsi="宋体"/>
                <w:sz w:val="24"/>
                <w:szCs w:val="24"/>
              </w:rPr>
              <w:t>投标人应依据国家等级保护相关标准开展工作，依据标准包括但不限于如下国家标准：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shd w:val="clear" w:color="auto" w:fill="auto"/>
            <w:vAlign w:val="center"/>
          </w:tcPr>
          <w:p>
            <w:pPr>
              <w:spacing w:line="460" w:lineRule="exact"/>
              <w:jc w:val="center"/>
              <w:rPr>
                <w:rFonts w:ascii="宋体" w:hAnsi="宋体"/>
                <w:sz w:val="24"/>
                <w:szCs w:val="24"/>
              </w:rPr>
            </w:pPr>
            <w:r>
              <w:rPr>
                <w:rFonts w:hint="eastAsia" w:ascii="宋体" w:hAnsi="宋体"/>
                <w:sz w:val="24"/>
                <w:szCs w:val="24"/>
              </w:rPr>
              <w:t>1.1</w:t>
            </w:r>
          </w:p>
        </w:tc>
        <w:tc>
          <w:tcPr>
            <w:tcW w:w="7472" w:type="dxa"/>
            <w:shd w:val="clear" w:color="auto" w:fill="auto"/>
            <w:vAlign w:val="center"/>
          </w:tcPr>
          <w:p>
            <w:pPr>
              <w:spacing w:line="460" w:lineRule="exact"/>
              <w:rPr>
                <w:rFonts w:ascii="宋体" w:hAnsi="宋体"/>
                <w:sz w:val="24"/>
                <w:szCs w:val="24"/>
              </w:rPr>
            </w:pPr>
            <w:r>
              <w:rPr>
                <w:rFonts w:hint="eastAsia" w:ascii="宋体" w:hAnsi="宋体"/>
                <w:sz w:val="24"/>
                <w:szCs w:val="24"/>
              </w:rPr>
              <w:t>GB/T 22239-2019信息安全技术 信息系统安全等级保护基本要求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shd w:val="clear" w:color="auto" w:fill="auto"/>
            <w:vAlign w:val="center"/>
          </w:tcPr>
          <w:p>
            <w:pPr>
              <w:spacing w:line="460" w:lineRule="exact"/>
              <w:jc w:val="center"/>
              <w:rPr>
                <w:rFonts w:ascii="宋体" w:hAnsi="宋体"/>
                <w:sz w:val="24"/>
                <w:szCs w:val="24"/>
              </w:rPr>
            </w:pPr>
            <w:r>
              <w:rPr>
                <w:rFonts w:hint="eastAsia" w:ascii="宋体" w:hAnsi="宋体"/>
                <w:sz w:val="24"/>
                <w:szCs w:val="24"/>
              </w:rPr>
              <w:t>1.2</w:t>
            </w:r>
          </w:p>
        </w:tc>
        <w:tc>
          <w:tcPr>
            <w:tcW w:w="7472" w:type="dxa"/>
            <w:shd w:val="clear" w:color="auto" w:fill="auto"/>
            <w:vAlign w:val="center"/>
          </w:tcPr>
          <w:p>
            <w:pPr>
              <w:spacing w:line="460" w:lineRule="exact"/>
              <w:rPr>
                <w:rFonts w:ascii="宋体" w:hAnsi="宋体"/>
                <w:sz w:val="24"/>
                <w:szCs w:val="24"/>
              </w:rPr>
            </w:pPr>
            <w:r>
              <w:rPr>
                <w:rFonts w:hint="eastAsia" w:ascii="宋体" w:hAnsi="宋体"/>
                <w:sz w:val="24"/>
                <w:szCs w:val="24"/>
              </w:rPr>
              <w:t>GB/T 28448-2019</w:t>
            </w:r>
            <w:r>
              <w:rPr>
                <w:rFonts w:ascii="宋体" w:hAnsi="宋体"/>
                <w:sz w:val="24"/>
                <w:szCs w:val="24"/>
              </w:rPr>
              <w:t>信息安全技术网络安全等级保护测评要求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shd w:val="clear" w:color="auto" w:fill="auto"/>
            <w:vAlign w:val="center"/>
          </w:tcPr>
          <w:p>
            <w:pPr>
              <w:spacing w:line="460" w:lineRule="exact"/>
              <w:jc w:val="center"/>
              <w:rPr>
                <w:rFonts w:ascii="宋体" w:hAnsi="宋体"/>
                <w:sz w:val="24"/>
                <w:szCs w:val="24"/>
              </w:rPr>
            </w:pPr>
            <w:r>
              <w:rPr>
                <w:rFonts w:hint="eastAsia" w:ascii="宋体" w:hAnsi="宋体"/>
                <w:sz w:val="24"/>
                <w:szCs w:val="24"/>
              </w:rPr>
              <w:t>1.3</w:t>
            </w:r>
          </w:p>
        </w:tc>
        <w:tc>
          <w:tcPr>
            <w:tcW w:w="7472" w:type="dxa"/>
            <w:shd w:val="clear" w:color="auto" w:fill="auto"/>
            <w:vAlign w:val="center"/>
          </w:tcPr>
          <w:p>
            <w:pPr>
              <w:spacing w:line="460" w:lineRule="exact"/>
              <w:rPr>
                <w:rFonts w:ascii="宋体" w:hAnsi="宋体"/>
                <w:sz w:val="24"/>
                <w:szCs w:val="24"/>
              </w:rPr>
            </w:pPr>
            <w:r>
              <w:rPr>
                <w:rFonts w:hint="eastAsia" w:ascii="宋体" w:hAnsi="宋体"/>
                <w:sz w:val="24"/>
                <w:szCs w:val="24"/>
              </w:rPr>
              <w:t>GB/T 25058-2010 信息安全技术信息系统安全等级保护实施指南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shd w:val="clear" w:color="auto" w:fill="auto"/>
            <w:vAlign w:val="center"/>
          </w:tcPr>
          <w:p>
            <w:pPr>
              <w:spacing w:line="460" w:lineRule="exact"/>
              <w:jc w:val="center"/>
              <w:rPr>
                <w:rFonts w:ascii="宋体" w:hAnsi="宋体"/>
                <w:sz w:val="24"/>
                <w:szCs w:val="24"/>
              </w:rPr>
            </w:pPr>
            <w:r>
              <w:rPr>
                <w:rFonts w:hint="eastAsia" w:ascii="宋体" w:hAnsi="宋体"/>
                <w:sz w:val="24"/>
                <w:szCs w:val="24"/>
              </w:rPr>
              <w:t>1.4</w:t>
            </w:r>
          </w:p>
        </w:tc>
        <w:tc>
          <w:tcPr>
            <w:tcW w:w="7472" w:type="dxa"/>
            <w:shd w:val="clear" w:color="auto" w:fill="auto"/>
            <w:vAlign w:val="center"/>
          </w:tcPr>
          <w:p>
            <w:pPr>
              <w:spacing w:line="460" w:lineRule="exact"/>
              <w:rPr>
                <w:rFonts w:ascii="宋体" w:hAnsi="宋体"/>
                <w:sz w:val="24"/>
                <w:szCs w:val="24"/>
              </w:rPr>
            </w:pPr>
            <w:r>
              <w:rPr>
                <w:rFonts w:hint="eastAsia" w:ascii="宋体" w:hAnsi="宋体"/>
                <w:sz w:val="24"/>
                <w:szCs w:val="24"/>
              </w:rPr>
              <w:t>GB/T 36627-2018 网络安全等级保护测试评估技术指南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shd w:val="clear" w:color="auto" w:fill="auto"/>
            <w:vAlign w:val="center"/>
          </w:tcPr>
          <w:p>
            <w:pPr>
              <w:spacing w:line="460" w:lineRule="exact"/>
              <w:jc w:val="center"/>
              <w:rPr>
                <w:rFonts w:ascii="宋体" w:hAnsi="宋体"/>
                <w:sz w:val="24"/>
                <w:szCs w:val="24"/>
              </w:rPr>
            </w:pPr>
            <w:r>
              <w:rPr>
                <w:rFonts w:hint="eastAsia" w:ascii="宋体" w:hAnsi="宋体"/>
                <w:sz w:val="24"/>
                <w:szCs w:val="24"/>
              </w:rPr>
              <w:t>1.5</w:t>
            </w:r>
          </w:p>
        </w:tc>
        <w:tc>
          <w:tcPr>
            <w:tcW w:w="7472" w:type="dxa"/>
            <w:shd w:val="clear" w:color="auto" w:fill="auto"/>
            <w:vAlign w:val="center"/>
          </w:tcPr>
          <w:p>
            <w:pPr>
              <w:spacing w:line="460" w:lineRule="exact"/>
              <w:rPr>
                <w:rFonts w:ascii="宋体" w:hAnsi="宋体"/>
                <w:sz w:val="24"/>
                <w:szCs w:val="24"/>
              </w:rPr>
            </w:pPr>
            <w:r>
              <w:rPr>
                <w:rFonts w:hint="eastAsia" w:ascii="宋体" w:hAnsi="宋体"/>
                <w:sz w:val="24"/>
                <w:szCs w:val="24"/>
              </w:rPr>
              <w:t>GB/T</w:t>
            </w:r>
            <w:r>
              <w:rPr>
                <w:rFonts w:ascii="宋体" w:hAnsi="宋体"/>
                <w:sz w:val="24"/>
                <w:szCs w:val="24"/>
              </w:rPr>
              <w:t xml:space="preserve"> </w:t>
            </w:r>
            <w:r>
              <w:rPr>
                <w:rFonts w:hint="eastAsia" w:ascii="宋体" w:hAnsi="宋体"/>
                <w:sz w:val="24"/>
                <w:szCs w:val="24"/>
              </w:rPr>
              <w:t>25070-2019</w:t>
            </w:r>
            <w:r>
              <w:rPr>
                <w:rFonts w:ascii="宋体" w:hAnsi="宋体"/>
                <w:sz w:val="24"/>
                <w:szCs w:val="24"/>
              </w:rPr>
              <w:t xml:space="preserve"> </w:t>
            </w:r>
            <w:r>
              <w:rPr>
                <w:rFonts w:hint="eastAsia" w:ascii="宋体" w:hAnsi="宋体"/>
                <w:sz w:val="24"/>
                <w:szCs w:val="24"/>
              </w:rPr>
              <w:t>网络安全等级保护设计技术要求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2"/>
            <w:shd w:val="clear" w:color="auto" w:fill="auto"/>
          </w:tcPr>
          <w:p>
            <w:pPr>
              <w:spacing w:line="460" w:lineRule="exact"/>
              <w:rPr>
                <w:rFonts w:ascii="宋体" w:hAnsi="宋体"/>
                <w:b/>
                <w:sz w:val="24"/>
                <w:szCs w:val="24"/>
              </w:rPr>
            </w:pPr>
            <w:r>
              <w:rPr>
                <w:rFonts w:hint="eastAsia" w:ascii="宋体" w:hAnsi="宋体"/>
                <w:b/>
                <w:sz w:val="24"/>
                <w:szCs w:val="24"/>
              </w:rPr>
              <w:t>二、测评服务内容</w:t>
            </w:r>
          </w:p>
          <w:p>
            <w:pPr>
              <w:spacing w:line="460" w:lineRule="exact"/>
              <w:rPr>
                <w:rFonts w:ascii="宋体" w:hAnsi="宋体"/>
                <w:sz w:val="24"/>
                <w:szCs w:val="24"/>
              </w:rPr>
            </w:pPr>
            <w:r>
              <w:rPr>
                <w:rFonts w:hint="eastAsia" w:ascii="宋体" w:hAnsi="宋体"/>
                <w:sz w:val="24"/>
                <w:szCs w:val="24"/>
              </w:rPr>
              <w:t>针对医院电子病历（含医嘱、护理一体化）系统系统开展以下服务活动：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shd w:val="clear" w:color="auto" w:fill="auto"/>
            <w:vAlign w:val="center"/>
          </w:tcPr>
          <w:p>
            <w:pPr>
              <w:spacing w:line="460" w:lineRule="exact"/>
              <w:jc w:val="center"/>
              <w:rPr>
                <w:rFonts w:ascii="宋体" w:hAnsi="宋体"/>
                <w:sz w:val="24"/>
                <w:szCs w:val="24"/>
              </w:rPr>
            </w:pPr>
            <w:r>
              <w:rPr>
                <w:rFonts w:hint="eastAsia" w:ascii="宋体" w:hAnsi="宋体"/>
                <w:sz w:val="24"/>
                <w:szCs w:val="24"/>
              </w:rPr>
              <w:t>*2.1</w:t>
            </w:r>
          </w:p>
        </w:tc>
        <w:tc>
          <w:tcPr>
            <w:tcW w:w="7472" w:type="dxa"/>
            <w:shd w:val="clear" w:color="auto" w:fill="auto"/>
            <w:vAlign w:val="center"/>
          </w:tcPr>
          <w:p>
            <w:pPr>
              <w:spacing w:line="460" w:lineRule="exact"/>
              <w:rPr>
                <w:rFonts w:ascii="宋体" w:hAnsi="宋体"/>
                <w:sz w:val="24"/>
                <w:szCs w:val="24"/>
              </w:rPr>
            </w:pPr>
            <w:r>
              <w:rPr>
                <w:rFonts w:hint="eastAsia" w:ascii="宋体" w:hAnsi="宋体"/>
                <w:sz w:val="24"/>
                <w:szCs w:val="24"/>
              </w:rPr>
              <w:t>安全技术测评：包括物理环境安全、通信网络安全、安全计算环境、安全管理中心等五个方面的安全测评。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shd w:val="clear" w:color="auto" w:fill="auto"/>
            <w:vAlign w:val="center"/>
          </w:tcPr>
          <w:p>
            <w:pPr>
              <w:spacing w:line="460" w:lineRule="exact"/>
              <w:jc w:val="center"/>
              <w:rPr>
                <w:rFonts w:ascii="宋体" w:hAnsi="宋体"/>
                <w:sz w:val="24"/>
                <w:szCs w:val="24"/>
              </w:rPr>
            </w:pPr>
            <w:r>
              <w:rPr>
                <w:rFonts w:hint="eastAsia" w:ascii="宋体" w:hAnsi="宋体"/>
                <w:sz w:val="24"/>
                <w:szCs w:val="24"/>
              </w:rPr>
              <w:t>*2.2</w:t>
            </w:r>
          </w:p>
        </w:tc>
        <w:tc>
          <w:tcPr>
            <w:tcW w:w="7472" w:type="dxa"/>
            <w:shd w:val="clear" w:color="auto" w:fill="auto"/>
            <w:vAlign w:val="center"/>
          </w:tcPr>
          <w:p>
            <w:pPr>
              <w:spacing w:line="460" w:lineRule="exact"/>
              <w:rPr>
                <w:rFonts w:ascii="宋体" w:hAnsi="宋体"/>
                <w:sz w:val="24"/>
                <w:szCs w:val="24"/>
              </w:rPr>
            </w:pPr>
            <w:r>
              <w:rPr>
                <w:rFonts w:hint="eastAsia" w:ascii="宋体" w:hAnsi="宋体"/>
                <w:sz w:val="24"/>
                <w:szCs w:val="24"/>
              </w:rPr>
              <w:t>安全管理测评：安全管理制度、安全管理机构、安全管理人员、安全建设管理、安全运维管理等五个方面的安全测评。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shd w:val="clear" w:color="auto" w:fill="auto"/>
            <w:vAlign w:val="center"/>
          </w:tcPr>
          <w:p>
            <w:pPr>
              <w:spacing w:line="460" w:lineRule="exact"/>
              <w:jc w:val="center"/>
              <w:rPr>
                <w:rFonts w:ascii="宋体" w:hAnsi="宋体"/>
                <w:sz w:val="24"/>
                <w:szCs w:val="24"/>
              </w:rPr>
            </w:pPr>
            <w:r>
              <w:rPr>
                <w:rFonts w:hint="eastAsia" w:ascii="宋体" w:hAnsi="宋体"/>
                <w:sz w:val="24"/>
                <w:szCs w:val="24"/>
              </w:rPr>
              <w:t>*2.3</w:t>
            </w:r>
          </w:p>
        </w:tc>
        <w:tc>
          <w:tcPr>
            <w:tcW w:w="7472" w:type="dxa"/>
            <w:shd w:val="clear" w:color="auto" w:fill="auto"/>
            <w:vAlign w:val="center"/>
          </w:tcPr>
          <w:p>
            <w:pPr>
              <w:spacing w:line="460" w:lineRule="exact"/>
              <w:rPr>
                <w:rFonts w:ascii="宋体" w:hAnsi="宋体"/>
                <w:sz w:val="24"/>
                <w:szCs w:val="24"/>
              </w:rPr>
            </w:pPr>
            <w:r>
              <w:rPr>
                <w:rFonts w:hint="eastAsia" w:ascii="宋体" w:hAnsi="宋体"/>
                <w:sz w:val="24"/>
                <w:szCs w:val="24"/>
              </w:rPr>
              <w:t>本次服务需求至少包含两次测评，第一次测评为被测评系统的首次测评，针对被测评系统存在的问题，出具测评报告，为招标人进行系统整改提供依据；第二次测评为招标人完成建设整改后，对被测评系统进行再次符合性测评，直至招标人委托测评系统达到信息安全等级保护相应级别要求。包括资产梳理、基线核查不少于1次，漏洞扫描服务不少于4次、渗透测试服务不少于2次、等保安全培训服务不少于1次、安全咨询服务按需不限次数、应急响应服务一年期7*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shd w:val="clear" w:color="auto" w:fill="auto"/>
            <w:vAlign w:val="center"/>
          </w:tcPr>
          <w:p>
            <w:pPr>
              <w:spacing w:line="460" w:lineRule="exact"/>
              <w:jc w:val="center"/>
              <w:rPr>
                <w:rFonts w:ascii="宋体" w:hAnsi="宋体"/>
                <w:sz w:val="24"/>
                <w:szCs w:val="24"/>
              </w:rPr>
            </w:pPr>
            <w:r>
              <w:rPr>
                <w:rFonts w:hint="eastAsia" w:ascii="宋体" w:hAnsi="宋体"/>
                <w:sz w:val="24"/>
                <w:szCs w:val="24"/>
              </w:rPr>
              <w:t>*2.4</w:t>
            </w:r>
          </w:p>
        </w:tc>
        <w:tc>
          <w:tcPr>
            <w:tcW w:w="7472" w:type="dxa"/>
            <w:shd w:val="clear" w:color="auto" w:fill="auto"/>
            <w:vAlign w:val="center"/>
          </w:tcPr>
          <w:p>
            <w:pPr>
              <w:spacing w:line="460" w:lineRule="exact"/>
              <w:rPr>
                <w:rFonts w:ascii="宋体" w:hAnsi="宋体"/>
                <w:sz w:val="24"/>
                <w:szCs w:val="24"/>
              </w:rPr>
            </w:pPr>
            <w:r>
              <w:rPr>
                <w:rFonts w:hint="eastAsia" w:ascii="宋体" w:hAnsi="宋体"/>
                <w:sz w:val="24"/>
                <w:szCs w:val="24"/>
              </w:rPr>
              <w:t>出具符合公安局部门及相关部门要求的系统安全保护等级测评报告，并且确保最终取得信息安全主管部门出具的备案证书。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296" w:type="dxa"/>
            <w:gridSpan w:val="2"/>
            <w:shd w:val="clear" w:color="auto" w:fill="auto"/>
            <w:vAlign w:val="center"/>
          </w:tcPr>
          <w:p>
            <w:pPr>
              <w:spacing w:line="460" w:lineRule="exact"/>
              <w:rPr>
                <w:rFonts w:ascii="宋体" w:hAnsi="宋体"/>
                <w:b/>
                <w:sz w:val="24"/>
                <w:szCs w:val="24"/>
              </w:rPr>
            </w:pPr>
            <w:r>
              <w:rPr>
                <w:rFonts w:hint="eastAsia" w:ascii="宋体" w:hAnsi="宋体"/>
                <w:b/>
                <w:sz w:val="24"/>
                <w:szCs w:val="24"/>
              </w:rPr>
              <w:t>三、测评原则</w:t>
            </w:r>
          </w:p>
          <w:p>
            <w:pPr>
              <w:spacing w:line="460" w:lineRule="exact"/>
              <w:rPr>
                <w:rFonts w:ascii="宋体" w:hAnsi="宋体"/>
                <w:sz w:val="24"/>
                <w:szCs w:val="24"/>
              </w:rPr>
            </w:pPr>
            <w:r>
              <w:rPr>
                <w:rFonts w:hint="eastAsia" w:ascii="宋体" w:hAnsi="宋体"/>
                <w:sz w:val="24"/>
                <w:szCs w:val="24"/>
              </w:rPr>
              <w:t>本次安全保护等级保护测评实施方案设计与具体实施应满足以下原则：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shd w:val="clear" w:color="auto" w:fill="auto"/>
            <w:vAlign w:val="center"/>
          </w:tcPr>
          <w:p>
            <w:pPr>
              <w:spacing w:line="460" w:lineRule="exact"/>
              <w:jc w:val="center"/>
              <w:rPr>
                <w:rFonts w:ascii="宋体" w:hAnsi="宋体"/>
                <w:sz w:val="24"/>
                <w:szCs w:val="24"/>
              </w:rPr>
            </w:pPr>
            <w:r>
              <w:rPr>
                <w:rFonts w:hint="eastAsia" w:ascii="宋体" w:hAnsi="宋体"/>
                <w:sz w:val="24"/>
                <w:szCs w:val="24"/>
              </w:rPr>
              <w:t>*3.1</w:t>
            </w:r>
          </w:p>
        </w:tc>
        <w:tc>
          <w:tcPr>
            <w:tcW w:w="7472" w:type="dxa"/>
            <w:shd w:val="clear" w:color="auto" w:fill="auto"/>
            <w:vAlign w:val="center"/>
          </w:tcPr>
          <w:p>
            <w:pPr>
              <w:spacing w:line="460" w:lineRule="exact"/>
              <w:rPr>
                <w:rFonts w:ascii="宋体" w:hAnsi="宋体"/>
                <w:sz w:val="24"/>
                <w:szCs w:val="24"/>
              </w:rPr>
            </w:pPr>
            <w:r>
              <w:rPr>
                <w:rFonts w:hint="eastAsia" w:ascii="宋体" w:hAnsi="宋体"/>
                <w:sz w:val="24"/>
                <w:szCs w:val="24"/>
              </w:rPr>
              <w:t>保密原则：对测评的过程数据和结果数据严格保密，未经授权不得泄露给任何单位和个人，不得利用此数据进行任何侵害招标人的行为，否则招标人有权追究投标人的责任。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shd w:val="clear" w:color="auto" w:fill="auto"/>
            <w:vAlign w:val="center"/>
          </w:tcPr>
          <w:p>
            <w:pPr>
              <w:spacing w:line="460" w:lineRule="exact"/>
              <w:jc w:val="center"/>
              <w:rPr>
                <w:rFonts w:ascii="宋体" w:hAnsi="宋体"/>
                <w:sz w:val="24"/>
                <w:szCs w:val="24"/>
              </w:rPr>
            </w:pPr>
            <w:r>
              <w:rPr>
                <w:rFonts w:hint="eastAsia" w:ascii="宋体" w:hAnsi="宋体"/>
                <w:sz w:val="24"/>
                <w:szCs w:val="24"/>
              </w:rPr>
              <w:t>3.2</w:t>
            </w:r>
          </w:p>
        </w:tc>
        <w:tc>
          <w:tcPr>
            <w:tcW w:w="7472" w:type="dxa"/>
            <w:shd w:val="clear" w:color="auto" w:fill="auto"/>
            <w:vAlign w:val="center"/>
          </w:tcPr>
          <w:p>
            <w:pPr>
              <w:spacing w:line="460" w:lineRule="exact"/>
              <w:rPr>
                <w:rFonts w:ascii="宋体" w:hAnsi="宋体"/>
                <w:sz w:val="24"/>
                <w:szCs w:val="24"/>
              </w:rPr>
            </w:pPr>
            <w:r>
              <w:rPr>
                <w:rFonts w:hint="eastAsia" w:ascii="宋体" w:hAnsi="宋体"/>
                <w:sz w:val="24"/>
                <w:szCs w:val="24"/>
              </w:rPr>
              <w:t>标准性原则：测评方案的设计与实施应依据国家等级保护的相关标准进行。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shd w:val="clear" w:color="auto" w:fill="auto"/>
            <w:vAlign w:val="center"/>
          </w:tcPr>
          <w:p>
            <w:pPr>
              <w:spacing w:line="460" w:lineRule="exact"/>
              <w:jc w:val="center"/>
              <w:rPr>
                <w:rFonts w:ascii="宋体" w:hAnsi="宋体"/>
                <w:sz w:val="24"/>
                <w:szCs w:val="24"/>
              </w:rPr>
            </w:pPr>
            <w:r>
              <w:rPr>
                <w:rFonts w:hint="eastAsia" w:ascii="宋体" w:hAnsi="宋体"/>
                <w:sz w:val="24"/>
                <w:szCs w:val="24"/>
              </w:rPr>
              <w:t>3.3</w:t>
            </w:r>
          </w:p>
        </w:tc>
        <w:tc>
          <w:tcPr>
            <w:tcW w:w="7472" w:type="dxa"/>
            <w:shd w:val="clear" w:color="auto" w:fill="auto"/>
            <w:vAlign w:val="center"/>
          </w:tcPr>
          <w:p>
            <w:pPr>
              <w:spacing w:line="460" w:lineRule="exact"/>
              <w:rPr>
                <w:rFonts w:ascii="宋体" w:hAnsi="宋体"/>
                <w:sz w:val="24"/>
                <w:szCs w:val="24"/>
              </w:rPr>
            </w:pPr>
            <w:r>
              <w:rPr>
                <w:rFonts w:hint="eastAsia" w:ascii="宋体" w:hAnsi="宋体"/>
                <w:sz w:val="24"/>
                <w:szCs w:val="24"/>
              </w:rPr>
              <w:t>规范性原则：测评工作过程中的文档，具有良好的规范性，便于项目的跟踪和控制。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shd w:val="clear" w:color="auto" w:fill="auto"/>
            <w:vAlign w:val="center"/>
          </w:tcPr>
          <w:p>
            <w:pPr>
              <w:spacing w:line="460" w:lineRule="exact"/>
              <w:jc w:val="center"/>
              <w:rPr>
                <w:rFonts w:ascii="宋体" w:hAnsi="宋体"/>
                <w:sz w:val="24"/>
                <w:szCs w:val="24"/>
              </w:rPr>
            </w:pPr>
            <w:r>
              <w:rPr>
                <w:rFonts w:hint="eastAsia" w:ascii="宋体" w:hAnsi="宋体"/>
                <w:sz w:val="24"/>
                <w:szCs w:val="24"/>
              </w:rPr>
              <w:t>3.4</w:t>
            </w:r>
          </w:p>
        </w:tc>
        <w:tc>
          <w:tcPr>
            <w:tcW w:w="7472" w:type="dxa"/>
            <w:shd w:val="clear" w:color="auto" w:fill="auto"/>
            <w:vAlign w:val="center"/>
          </w:tcPr>
          <w:p>
            <w:pPr>
              <w:spacing w:line="460" w:lineRule="exact"/>
              <w:rPr>
                <w:rFonts w:ascii="宋体" w:hAnsi="宋体"/>
                <w:sz w:val="24"/>
                <w:szCs w:val="24"/>
              </w:rPr>
            </w:pPr>
            <w:r>
              <w:rPr>
                <w:rFonts w:hint="eastAsia" w:ascii="宋体" w:hAnsi="宋体"/>
                <w:sz w:val="24"/>
                <w:szCs w:val="24"/>
              </w:rPr>
              <w:t>可控性原则：测评服务的进度要严格进度表的安排。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shd w:val="clear" w:color="auto" w:fill="auto"/>
            <w:vAlign w:val="center"/>
          </w:tcPr>
          <w:p>
            <w:pPr>
              <w:spacing w:line="460" w:lineRule="exact"/>
              <w:jc w:val="center"/>
              <w:rPr>
                <w:rFonts w:ascii="宋体" w:hAnsi="宋体"/>
                <w:sz w:val="24"/>
                <w:szCs w:val="24"/>
              </w:rPr>
            </w:pPr>
            <w:r>
              <w:rPr>
                <w:rFonts w:hint="eastAsia" w:ascii="宋体" w:hAnsi="宋体"/>
                <w:sz w:val="24"/>
                <w:szCs w:val="24"/>
              </w:rPr>
              <w:t>3.5</w:t>
            </w:r>
          </w:p>
        </w:tc>
        <w:tc>
          <w:tcPr>
            <w:tcW w:w="7472" w:type="dxa"/>
            <w:shd w:val="clear" w:color="auto" w:fill="auto"/>
            <w:vAlign w:val="center"/>
          </w:tcPr>
          <w:p>
            <w:pPr>
              <w:spacing w:line="460" w:lineRule="exact"/>
              <w:rPr>
                <w:rFonts w:ascii="宋体" w:hAnsi="宋体"/>
                <w:sz w:val="24"/>
                <w:szCs w:val="24"/>
              </w:rPr>
            </w:pPr>
            <w:r>
              <w:rPr>
                <w:rFonts w:hint="eastAsia" w:ascii="宋体" w:hAnsi="宋体"/>
                <w:sz w:val="24"/>
                <w:szCs w:val="24"/>
              </w:rPr>
              <w:t>整体性原则：测评的范围和内容应当整体全面，包括国家等级保护相关要求涉及的各个层面。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shd w:val="clear" w:color="auto" w:fill="auto"/>
            <w:vAlign w:val="center"/>
          </w:tcPr>
          <w:p>
            <w:pPr>
              <w:spacing w:line="460" w:lineRule="exact"/>
              <w:jc w:val="center"/>
              <w:rPr>
                <w:rFonts w:ascii="宋体" w:hAnsi="宋体"/>
                <w:sz w:val="24"/>
                <w:szCs w:val="24"/>
              </w:rPr>
            </w:pPr>
            <w:r>
              <w:rPr>
                <w:rFonts w:hint="eastAsia" w:ascii="宋体" w:hAnsi="宋体"/>
                <w:sz w:val="24"/>
                <w:szCs w:val="24"/>
              </w:rPr>
              <w:t>3.6</w:t>
            </w:r>
          </w:p>
        </w:tc>
        <w:tc>
          <w:tcPr>
            <w:tcW w:w="7472" w:type="dxa"/>
            <w:shd w:val="clear" w:color="auto" w:fill="auto"/>
            <w:vAlign w:val="center"/>
          </w:tcPr>
          <w:p>
            <w:pPr>
              <w:spacing w:line="460" w:lineRule="exact"/>
              <w:rPr>
                <w:rFonts w:ascii="宋体" w:hAnsi="宋体"/>
                <w:sz w:val="24"/>
                <w:szCs w:val="24"/>
              </w:rPr>
            </w:pPr>
            <w:r>
              <w:rPr>
                <w:rFonts w:hint="eastAsia" w:ascii="宋体" w:hAnsi="宋体"/>
                <w:sz w:val="24"/>
                <w:szCs w:val="24"/>
              </w:rPr>
              <w:t>最小影响原则：测评工作对系统和网络的影响必须在可控范围内，测评工作不能对现有信息系统的正常运行、业务的正常开展产生任何影响。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2"/>
            <w:shd w:val="clear" w:color="auto" w:fill="auto"/>
            <w:vAlign w:val="center"/>
          </w:tcPr>
          <w:p>
            <w:pPr>
              <w:spacing w:line="460" w:lineRule="exact"/>
              <w:rPr>
                <w:rFonts w:ascii="宋体" w:hAnsi="宋体"/>
                <w:sz w:val="24"/>
                <w:szCs w:val="24"/>
              </w:rPr>
            </w:pPr>
            <w:r>
              <w:rPr>
                <w:rFonts w:hint="eastAsia" w:ascii="宋体" w:hAnsi="宋体"/>
                <w:b/>
                <w:sz w:val="24"/>
                <w:szCs w:val="24"/>
              </w:rPr>
              <w:t>四、测评要求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shd w:val="clear" w:color="auto" w:fill="auto"/>
            <w:vAlign w:val="center"/>
          </w:tcPr>
          <w:p>
            <w:pPr>
              <w:spacing w:line="460" w:lineRule="exact"/>
              <w:jc w:val="center"/>
              <w:rPr>
                <w:rFonts w:ascii="宋体" w:hAnsi="宋体"/>
                <w:sz w:val="24"/>
                <w:szCs w:val="24"/>
              </w:rPr>
            </w:pPr>
            <w:r>
              <w:rPr>
                <w:rFonts w:hint="eastAsia" w:ascii="宋体" w:hAnsi="宋体"/>
                <w:sz w:val="24"/>
                <w:szCs w:val="24"/>
              </w:rPr>
              <w:t>*4.1</w:t>
            </w:r>
          </w:p>
        </w:tc>
        <w:tc>
          <w:tcPr>
            <w:tcW w:w="7472" w:type="dxa"/>
            <w:shd w:val="clear" w:color="auto" w:fill="auto"/>
            <w:vAlign w:val="center"/>
          </w:tcPr>
          <w:p>
            <w:pPr>
              <w:spacing w:line="460" w:lineRule="exact"/>
              <w:rPr>
                <w:rFonts w:ascii="宋体" w:hAnsi="宋体"/>
                <w:sz w:val="24"/>
                <w:szCs w:val="24"/>
              </w:rPr>
            </w:pPr>
            <w:r>
              <w:rPr>
                <w:rFonts w:hint="eastAsia" w:ascii="宋体" w:hAnsi="宋体"/>
                <w:sz w:val="24"/>
                <w:szCs w:val="24"/>
              </w:rPr>
              <w:t>投标人应详细描述本次等级保护测评的整体实施方案，包括项目概述、等保测评方案、项目实施方案、测试过程中需使用测试设备清单、时间安排、阶段性文档提交和验收标准等。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shd w:val="clear" w:color="auto" w:fill="auto"/>
            <w:vAlign w:val="center"/>
          </w:tcPr>
          <w:p>
            <w:pPr>
              <w:spacing w:line="460" w:lineRule="exact"/>
              <w:jc w:val="center"/>
              <w:rPr>
                <w:rFonts w:ascii="宋体" w:hAnsi="宋体"/>
                <w:sz w:val="24"/>
                <w:szCs w:val="24"/>
              </w:rPr>
            </w:pPr>
            <w:r>
              <w:rPr>
                <w:rFonts w:hint="eastAsia" w:ascii="宋体" w:hAnsi="宋体"/>
                <w:sz w:val="24"/>
                <w:szCs w:val="24"/>
              </w:rPr>
              <w:t>4.2</w:t>
            </w:r>
          </w:p>
        </w:tc>
        <w:tc>
          <w:tcPr>
            <w:tcW w:w="7472" w:type="dxa"/>
            <w:shd w:val="clear" w:color="auto" w:fill="auto"/>
            <w:vAlign w:val="center"/>
          </w:tcPr>
          <w:p>
            <w:pPr>
              <w:spacing w:line="460" w:lineRule="exact"/>
              <w:rPr>
                <w:rFonts w:ascii="宋体" w:hAnsi="宋体"/>
                <w:sz w:val="24"/>
                <w:szCs w:val="24"/>
              </w:rPr>
            </w:pPr>
            <w:r>
              <w:rPr>
                <w:rFonts w:hint="eastAsia" w:ascii="宋体" w:hAnsi="宋体"/>
                <w:sz w:val="24"/>
                <w:szCs w:val="24"/>
              </w:rPr>
              <w:t>投标人应详细描述测评人员的组成、资质及各自职责的划分。投标人应配置有资质的专业人员进行本次等级保护测评工作。项目经理、项目技术负责人至少为中级及以上资质。具体测评技术人员不少于4人，需持有等级保护测评师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shd w:val="clear" w:color="auto" w:fill="auto"/>
            <w:vAlign w:val="center"/>
          </w:tcPr>
          <w:p>
            <w:pPr>
              <w:spacing w:line="460" w:lineRule="exact"/>
              <w:jc w:val="center"/>
              <w:rPr>
                <w:rFonts w:ascii="宋体" w:hAnsi="宋体"/>
                <w:sz w:val="24"/>
                <w:szCs w:val="24"/>
              </w:rPr>
            </w:pPr>
            <w:r>
              <w:rPr>
                <w:rFonts w:hint="eastAsia" w:ascii="宋体" w:hAnsi="宋体"/>
                <w:sz w:val="24"/>
                <w:szCs w:val="24"/>
              </w:rPr>
              <w:t>4.3</w:t>
            </w:r>
          </w:p>
        </w:tc>
        <w:tc>
          <w:tcPr>
            <w:tcW w:w="7472" w:type="dxa"/>
            <w:shd w:val="clear" w:color="auto" w:fill="auto"/>
            <w:vAlign w:val="center"/>
          </w:tcPr>
          <w:p>
            <w:pPr>
              <w:spacing w:line="460" w:lineRule="exact"/>
              <w:rPr>
                <w:rFonts w:ascii="宋体" w:hAnsi="宋体"/>
                <w:sz w:val="24"/>
                <w:szCs w:val="24"/>
              </w:rPr>
            </w:pPr>
            <w:r>
              <w:rPr>
                <w:rFonts w:hint="eastAsia" w:ascii="宋体" w:hAnsi="宋体"/>
                <w:sz w:val="24"/>
                <w:szCs w:val="24"/>
              </w:rPr>
              <w:t>本次等级保护测评实施过程中所使用到的各种工具软件由投标人推荐，经招标人确认后由投标人提供并在测评中使用。在报价文件中应详细描述所使用的安全测评工具（软硬件型号、功能和性能描述）、使用的方式和时间、对环境和平台的要求以及使用可能对系统造成的风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shd w:val="clear" w:color="auto" w:fill="auto"/>
            <w:vAlign w:val="center"/>
          </w:tcPr>
          <w:p>
            <w:pPr>
              <w:spacing w:line="460" w:lineRule="exact"/>
              <w:jc w:val="center"/>
              <w:rPr>
                <w:rFonts w:ascii="宋体" w:hAnsi="宋体"/>
                <w:sz w:val="24"/>
                <w:szCs w:val="24"/>
              </w:rPr>
            </w:pPr>
            <w:r>
              <w:rPr>
                <w:rFonts w:hint="eastAsia" w:ascii="宋体" w:hAnsi="宋体"/>
                <w:sz w:val="24"/>
                <w:szCs w:val="24"/>
              </w:rPr>
              <w:t>4.4</w:t>
            </w:r>
          </w:p>
        </w:tc>
        <w:tc>
          <w:tcPr>
            <w:tcW w:w="7472" w:type="dxa"/>
            <w:shd w:val="clear" w:color="auto" w:fill="auto"/>
            <w:vAlign w:val="center"/>
          </w:tcPr>
          <w:p>
            <w:pPr>
              <w:spacing w:line="460" w:lineRule="exact"/>
              <w:rPr>
                <w:rFonts w:ascii="宋体" w:hAnsi="宋体"/>
                <w:sz w:val="24"/>
                <w:szCs w:val="24"/>
              </w:rPr>
            </w:pPr>
            <w:r>
              <w:rPr>
                <w:rFonts w:hint="eastAsia" w:ascii="宋体" w:hAnsi="宋体"/>
                <w:sz w:val="24"/>
                <w:szCs w:val="24"/>
              </w:rPr>
              <w:t>安全测评需要的运行环境（如场地、网络环境等）由招标人提供，投标人应详细描述需要的运行环境的具体要求。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shd w:val="clear" w:color="auto" w:fill="auto"/>
            <w:vAlign w:val="center"/>
          </w:tcPr>
          <w:p>
            <w:pPr>
              <w:spacing w:line="460" w:lineRule="exact"/>
              <w:jc w:val="center"/>
              <w:rPr>
                <w:rFonts w:ascii="宋体" w:hAnsi="宋体"/>
                <w:sz w:val="24"/>
                <w:szCs w:val="24"/>
              </w:rPr>
            </w:pPr>
            <w:r>
              <w:rPr>
                <w:rFonts w:hint="eastAsia" w:ascii="宋体" w:hAnsi="宋体"/>
                <w:sz w:val="24"/>
                <w:szCs w:val="24"/>
              </w:rPr>
              <w:t>4.5</w:t>
            </w:r>
          </w:p>
        </w:tc>
        <w:tc>
          <w:tcPr>
            <w:tcW w:w="7472" w:type="dxa"/>
            <w:shd w:val="clear" w:color="auto" w:fill="auto"/>
            <w:vAlign w:val="center"/>
          </w:tcPr>
          <w:p>
            <w:pPr>
              <w:spacing w:line="460" w:lineRule="exact"/>
              <w:rPr>
                <w:rFonts w:ascii="宋体" w:hAnsi="宋体"/>
                <w:sz w:val="24"/>
                <w:szCs w:val="24"/>
              </w:rPr>
            </w:pPr>
            <w:r>
              <w:rPr>
                <w:rFonts w:hint="eastAsia" w:ascii="宋体" w:hAnsi="宋体"/>
                <w:sz w:val="24"/>
                <w:szCs w:val="24"/>
              </w:rPr>
              <w:t>投标人在本项目中要在测评前、中、后三个阶段都要做好安全保密工作，签订保密协议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shd w:val="clear" w:color="auto" w:fill="auto"/>
            <w:vAlign w:val="center"/>
          </w:tcPr>
          <w:p>
            <w:pPr>
              <w:spacing w:line="460" w:lineRule="exact"/>
              <w:jc w:val="center"/>
              <w:rPr>
                <w:rFonts w:ascii="宋体" w:hAnsi="宋体"/>
                <w:sz w:val="24"/>
                <w:szCs w:val="24"/>
              </w:rPr>
            </w:pPr>
            <w:r>
              <w:rPr>
                <w:rFonts w:hint="eastAsia" w:ascii="宋体" w:hAnsi="宋体"/>
                <w:sz w:val="24"/>
                <w:szCs w:val="24"/>
              </w:rPr>
              <w:t>4.6</w:t>
            </w:r>
          </w:p>
        </w:tc>
        <w:tc>
          <w:tcPr>
            <w:tcW w:w="7472" w:type="dxa"/>
            <w:shd w:val="clear" w:color="auto" w:fill="auto"/>
            <w:vAlign w:val="center"/>
          </w:tcPr>
          <w:p>
            <w:pPr>
              <w:spacing w:line="460" w:lineRule="exact"/>
              <w:rPr>
                <w:rFonts w:ascii="宋体" w:hAnsi="宋体"/>
                <w:sz w:val="24"/>
                <w:szCs w:val="24"/>
              </w:rPr>
            </w:pPr>
            <w:r>
              <w:rPr>
                <w:rFonts w:ascii="宋体" w:hAnsi="宋体"/>
                <w:sz w:val="24"/>
                <w:szCs w:val="24"/>
              </w:rPr>
              <w:t>投标人应完成信息系统定级报告及定级材料的准备、整理，完成信息系统去公安机关的备案工作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2"/>
            <w:shd w:val="clear" w:color="auto" w:fill="auto"/>
            <w:vAlign w:val="center"/>
          </w:tcPr>
          <w:p>
            <w:pPr>
              <w:spacing w:line="460" w:lineRule="exact"/>
              <w:rPr>
                <w:rFonts w:ascii="宋体" w:hAnsi="宋体"/>
                <w:sz w:val="24"/>
                <w:szCs w:val="24"/>
              </w:rPr>
            </w:pPr>
            <w:r>
              <w:rPr>
                <w:rFonts w:hint="eastAsia" w:ascii="宋体" w:hAnsi="宋体"/>
                <w:b/>
                <w:sz w:val="24"/>
                <w:szCs w:val="24"/>
              </w:rPr>
              <w:t>五、其它要求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shd w:val="clear" w:color="auto" w:fill="auto"/>
            <w:vAlign w:val="center"/>
          </w:tcPr>
          <w:p>
            <w:pPr>
              <w:spacing w:line="460" w:lineRule="exact"/>
              <w:jc w:val="center"/>
              <w:rPr>
                <w:rFonts w:ascii="宋体" w:hAnsi="宋体"/>
                <w:sz w:val="24"/>
                <w:szCs w:val="24"/>
              </w:rPr>
            </w:pPr>
            <w:r>
              <w:rPr>
                <w:rFonts w:hint="eastAsia" w:ascii="宋体" w:hAnsi="宋体"/>
                <w:sz w:val="24"/>
                <w:szCs w:val="24"/>
              </w:rPr>
              <w:t>5.1</w:t>
            </w:r>
          </w:p>
        </w:tc>
        <w:tc>
          <w:tcPr>
            <w:tcW w:w="7472" w:type="dxa"/>
            <w:shd w:val="clear" w:color="auto" w:fill="auto"/>
            <w:vAlign w:val="center"/>
          </w:tcPr>
          <w:p>
            <w:pPr>
              <w:spacing w:line="460" w:lineRule="exact"/>
              <w:rPr>
                <w:rFonts w:ascii="宋体" w:hAnsi="宋体"/>
                <w:sz w:val="24"/>
                <w:szCs w:val="24"/>
              </w:rPr>
            </w:pPr>
            <w:r>
              <w:rPr>
                <w:rFonts w:hint="eastAsia" w:ascii="宋体" w:hAnsi="宋体"/>
                <w:sz w:val="24"/>
                <w:szCs w:val="24"/>
              </w:rPr>
              <w:t>投标人提供的所有服务，其质量、技术等特征必须符合国家、行业现行的标准及用户需求。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shd w:val="clear" w:color="auto" w:fill="auto"/>
            <w:vAlign w:val="center"/>
          </w:tcPr>
          <w:p>
            <w:pPr>
              <w:spacing w:line="460" w:lineRule="exact"/>
              <w:jc w:val="center"/>
              <w:rPr>
                <w:rFonts w:ascii="宋体" w:hAnsi="宋体"/>
                <w:sz w:val="24"/>
                <w:szCs w:val="24"/>
              </w:rPr>
            </w:pPr>
            <w:r>
              <w:rPr>
                <w:rFonts w:hint="eastAsia" w:ascii="宋体" w:hAnsi="宋体"/>
                <w:sz w:val="24"/>
                <w:szCs w:val="24"/>
              </w:rPr>
              <w:t>5.2</w:t>
            </w:r>
          </w:p>
        </w:tc>
        <w:tc>
          <w:tcPr>
            <w:tcW w:w="7472" w:type="dxa"/>
            <w:shd w:val="clear" w:color="auto" w:fill="auto"/>
            <w:vAlign w:val="center"/>
          </w:tcPr>
          <w:p>
            <w:pPr>
              <w:spacing w:line="460" w:lineRule="exact"/>
              <w:rPr>
                <w:rFonts w:ascii="宋体" w:hAnsi="宋体"/>
                <w:sz w:val="24"/>
                <w:szCs w:val="24"/>
              </w:rPr>
            </w:pPr>
            <w:r>
              <w:rPr>
                <w:rFonts w:hint="eastAsia" w:ascii="宋体" w:hAnsi="宋体"/>
                <w:sz w:val="24"/>
                <w:szCs w:val="24"/>
              </w:rPr>
              <w:t>投标人在湖北设有机构、办事处等常驻机构，具备应急响应及到现场服务能力（提供有效的工商营业执照副本或者相关部门证明文件备查）。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shd w:val="clear" w:color="auto" w:fill="auto"/>
            <w:vAlign w:val="center"/>
          </w:tcPr>
          <w:p>
            <w:pPr>
              <w:spacing w:line="460" w:lineRule="exact"/>
              <w:jc w:val="center"/>
              <w:rPr>
                <w:rFonts w:ascii="宋体" w:hAnsi="宋体"/>
                <w:sz w:val="24"/>
                <w:szCs w:val="24"/>
              </w:rPr>
            </w:pPr>
            <w:r>
              <w:rPr>
                <w:rFonts w:hint="eastAsia" w:ascii="宋体" w:hAnsi="宋体"/>
                <w:sz w:val="24"/>
                <w:szCs w:val="24"/>
              </w:rPr>
              <w:t>*5.3</w:t>
            </w:r>
          </w:p>
        </w:tc>
        <w:tc>
          <w:tcPr>
            <w:tcW w:w="7472" w:type="dxa"/>
            <w:shd w:val="clear" w:color="auto" w:fill="auto"/>
            <w:vAlign w:val="center"/>
          </w:tcPr>
          <w:p>
            <w:pPr>
              <w:spacing w:line="460" w:lineRule="exact"/>
              <w:rPr>
                <w:rFonts w:ascii="宋体" w:hAnsi="宋体"/>
                <w:sz w:val="24"/>
                <w:szCs w:val="24"/>
              </w:rPr>
            </w:pPr>
            <w:r>
              <w:rPr>
                <w:rFonts w:hint="eastAsia" w:ascii="宋体" w:hAnsi="宋体"/>
                <w:sz w:val="24"/>
                <w:szCs w:val="24"/>
              </w:rPr>
              <w:t>招标人有权拒绝接受任何不合格的服务，由此产生的费用及相关后果均由投标人自行承担。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shd w:val="clear" w:color="auto" w:fill="auto"/>
            <w:vAlign w:val="center"/>
          </w:tcPr>
          <w:p>
            <w:pPr>
              <w:spacing w:line="460" w:lineRule="exact"/>
              <w:jc w:val="center"/>
              <w:rPr>
                <w:rFonts w:ascii="宋体" w:hAnsi="宋体"/>
                <w:sz w:val="24"/>
                <w:szCs w:val="24"/>
              </w:rPr>
            </w:pPr>
            <w:r>
              <w:rPr>
                <w:rFonts w:hint="eastAsia" w:ascii="宋体" w:hAnsi="宋体"/>
                <w:sz w:val="24"/>
                <w:szCs w:val="24"/>
              </w:rPr>
              <w:t>5.4</w:t>
            </w:r>
          </w:p>
        </w:tc>
        <w:tc>
          <w:tcPr>
            <w:tcW w:w="7472" w:type="dxa"/>
            <w:shd w:val="clear" w:color="auto" w:fill="auto"/>
            <w:vAlign w:val="center"/>
          </w:tcPr>
          <w:p>
            <w:pPr>
              <w:spacing w:line="460" w:lineRule="exact"/>
              <w:rPr>
                <w:rFonts w:ascii="宋体" w:hAnsi="宋体"/>
                <w:sz w:val="24"/>
                <w:szCs w:val="24"/>
              </w:rPr>
            </w:pPr>
            <w:r>
              <w:rPr>
                <w:rFonts w:hint="eastAsia" w:ascii="宋体" w:hAnsi="宋体"/>
                <w:sz w:val="24"/>
                <w:szCs w:val="24"/>
              </w:rPr>
              <w:t>投标人不得将本次采购合同进行分包。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shd w:val="clear" w:color="auto" w:fill="auto"/>
            <w:vAlign w:val="center"/>
          </w:tcPr>
          <w:p>
            <w:pPr>
              <w:spacing w:line="460" w:lineRule="exact"/>
              <w:jc w:val="center"/>
              <w:rPr>
                <w:rFonts w:ascii="宋体" w:hAnsi="宋体"/>
                <w:sz w:val="24"/>
                <w:szCs w:val="24"/>
              </w:rPr>
            </w:pPr>
            <w:r>
              <w:rPr>
                <w:rFonts w:hint="eastAsia" w:ascii="宋体" w:hAnsi="宋体"/>
                <w:sz w:val="24"/>
                <w:szCs w:val="24"/>
              </w:rPr>
              <w:t>*5.5</w:t>
            </w:r>
          </w:p>
        </w:tc>
        <w:tc>
          <w:tcPr>
            <w:tcW w:w="7472" w:type="dxa"/>
            <w:shd w:val="clear" w:color="auto" w:fill="auto"/>
            <w:vAlign w:val="center"/>
          </w:tcPr>
          <w:p>
            <w:pPr>
              <w:spacing w:line="460" w:lineRule="exact"/>
              <w:rPr>
                <w:rFonts w:ascii="宋体" w:hAnsi="宋体"/>
                <w:sz w:val="24"/>
                <w:szCs w:val="24"/>
              </w:rPr>
            </w:pPr>
            <w:r>
              <w:rPr>
                <w:rFonts w:ascii="宋体" w:hAnsi="宋体"/>
                <w:sz w:val="24"/>
                <w:szCs w:val="24"/>
              </w:rPr>
              <w:t>投标人必须为</w:t>
            </w:r>
            <w:r>
              <w:rPr>
                <w:rFonts w:hint="eastAsia" w:ascii="宋体" w:hAnsi="宋体"/>
                <w:sz w:val="24"/>
                <w:szCs w:val="24"/>
              </w:rPr>
              <w:t>国家和湖北省推荐的等级保护测评机构推荐目标内机构。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shd w:val="clear" w:color="auto" w:fill="auto"/>
            <w:vAlign w:val="center"/>
          </w:tcPr>
          <w:p>
            <w:pPr>
              <w:spacing w:line="460" w:lineRule="exact"/>
              <w:jc w:val="center"/>
              <w:rPr>
                <w:rFonts w:ascii="宋体" w:hAnsi="宋体"/>
                <w:sz w:val="24"/>
                <w:szCs w:val="24"/>
              </w:rPr>
            </w:pPr>
            <w:r>
              <w:rPr>
                <w:rFonts w:hint="eastAsia" w:ascii="宋体" w:hAnsi="宋体"/>
                <w:sz w:val="24"/>
                <w:szCs w:val="24"/>
              </w:rPr>
              <w:t>5</w:t>
            </w:r>
            <w:r>
              <w:rPr>
                <w:rFonts w:ascii="宋体" w:hAnsi="宋体"/>
                <w:sz w:val="24"/>
                <w:szCs w:val="24"/>
              </w:rPr>
              <w:t>.6</w:t>
            </w:r>
          </w:p>
        </w:tc>
        <w:tc>
          <w:tcPr>
            <w:tcW w:w="7472" w:type="dxa"/>
            <w:shd w:val="clear" w:color="auto" w:fill="auto"/>
            <w:vAlign w:val="center"/>
          </w:tcPr>
          <w:p>
            <w:pPr>
              <w:spacing w:line="460" w:lineRule="exact"/>
              <w:rPr>
                <w:rFonts w:ascii="宋体" w:hAnsi="宋体"/>
                <w:sz w:val="24"/>
                <w:szCs w:val="24"/>
              </w:rPr>
            </w:pPr>
            <w:r>
              <w:rPr>
                <w:rFonts w:hint="eastAsia" w:ascii="宋体" w:hAnsi="宋体"/>
                <w:sz w:val="24"/>
                <w:szCs w:val="24"/>
              </w:rPr>
              <w:t>服务过程中服务人员的安全责任由中标人自行承担。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2"/>
            <w:shd w:val="clear" w:color="auto" w:fill="auto"/>
            <w:vAlign w:val="center"/>
          </w:tcPr>
          <w:p>
            <w:pPr>
              <w:spacing w:line="460" w:lineRule="exact"/>
              <w:rPr>
                <w:rFonts w:ascii="宋体" w:hAnsi="宋体"/>
                <w:sz w:val="24"/>
                <w:szCs w:val="24"/>
              </w:rPr>
            </w:pPr>
            <w:r>
              <w:rPr>
                <w:rFonts w:hint="eastAsia" w:ascii="宋体" w:hAnsi="宋体"/>
                <w:b/>
                <w:sz w:val="24"/>
                <w:szCs w:val="24"/>
              </w:rPr>
              <w:t>六、工期要求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shd w:val="clear" w:color="auto" w:fill="auto"/>
            <w:vAlign w:val="center"/>
          </w:tcPr>
          <w:p>
            <w:pPr>
              <w:spacing w:line="460" w:lineRule="exact"/>
              <w:jc w:val="center"/>
              <w:rPr>
                <w:rFonts w:ascii="宋体" w:hAnsi="宋体"/>
                <w:sz w:val="24"/>
                <w:szCs w:val="24"/>
              </w:rPr>
            </w:pPr>
            <w:r>
              <w:rPr>
                <w:rFonts w:hint="eastAsia" w:ascii="宋体" w:hAnsi="宋体"/>
                <w:sz w:val="24"/>
                <w:szCs w:val="24"/>
              </w:rPr>
              <w:t>*6.1</w:t>
            </w:r>
          </w:p>
        </w:tc>
        <w:tc>
          <w:tcPr>
            <w:tcW w:w="7472" w:type="dxa"/>
            <w:shd w:val="clear" w:color="auto" w:fill="auto"/>
            <w:vAlign w:val="center"/>
          </w:tcPr>
          <w:p>
            <w:pPr>
              <w:rPr>
                <w:rFonts w:ascii="宋体" w:hAnsi="宋体"/>
                <w:sz w:val="24"/>
                <w:szCs w:val="24"/>
              </w:rPr>
            </w:pPr>
            <w:r>
              <w:rPr>
                <w:rFonts w:hint="eastAsia" w:ascii="宋体" w:hAnsi="宋体"/>
                <w:sz w:val="24"/>
                <w:szCs w:val="24"/>
              </w:rPr>
              <w:t>合同签订之日起一年。测评工作时间要求:服务开始之日起6个月内完成所有测评工作，并通过测评工作验收。其中：</w:t>
            </w:r>
          </w:p>
          <w:p>
            <w:pPr>
              <w:spacing w:line="460" w:lineRule="exact"/>
              <w:rPr>
                <w:rFonts w:ascii="宋体" w:hAnsi="宋体"/>
                <w:sz w:val="24"/>
                <w:szCs w:val="24"/>
              </w:rPr>
            </w:pPr>
            <w:r>
              <w:rPr>
                <w:rFonts w:hint="eastAsia" w:ascii="宋体" w:hAnsi="宋体"/>
                <w:sz w:val="24"/>
                <w:szCs w:val="24"/>
              </w:rPr>
              <w:t>（1）第一次测评：测评系统等级保护备案回执收到后15日之内完成测评工作。</w:t>
            </w:r>
          </w:p>
          <w:p>
            <w:pPr>
              <w:spacing w:line="460" w:lineRule="exact"/>
              <w:rPr>
                <w:rFonts w:ascii="宋体" w:hAnsi="宋体"/>
                <w:sz w:val="24"/>
                <w:szCs w:val="24"/>
              </w:rPr>
            </w:pPr>
            <w:r>
              <w:rPr>
                <w:rFonts w:hint="eastAsia" w:ascii="宋体" w:hAnsi="宋体"/>
                <w:sz w:val="24"/>
                <w:szCs w:val="24"/>
              </w:rPr>
              <w:t>（2）第二次测评：招标人完成整改后指定日期起15日之内完成测评工作，直至招标人取得相关</w:t>
            </w:r>
            <w:r>
              <w:rPr>
                <w:rFonts w:hint="eastAsia" w:ascii="宋体" w:hAnsi="宋体" w:cs="仿宋_GB2312"/>
                <w:kern w:val="0"/>
                <w:sz w:val="24"/>
                <w:szCs w:val="24"/>
              </w:rPr>
              <w:t>系统等级保护备案证书</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2"/>
            <w:shd w:val="clear" w:color="auto" w:fill="auto"/>
            <w:vAlign w:val="center"/>
          </w:tcPr>
          <w:p>
            <w:pPr>
              <w:spacing w:line="460" w:lineRule="exact"/>
              <w:rPr>
                <w:rFonts w:ascii="宋体" w:hAnsi="宋体"/>
                <w:sz w:val="24"/>
                <w:szCs w:val="24"/>
              </w:rPr>
            </w:pPr>
            <w:r>
              <w:rPr>
                <w:rFonts w:hint="eastAsia" w:ascii="宋体" w:hAnsi="宋体"/>
                <w:b/>
                <w:sz w:val="24"/>
                <w:szCs w:val="24"/>
              </w:rPr>
              <w:t>七、测评服务付款方式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shd w:val="clear" w:color="auto" w:fill="auto"/>
            <w:vAlign w:val="center"/>
          </w:tcPr>
          <w:p>
            <w:pPr>
              <w:spacing w:line="460" w:lineRule="exact"/>
              <w:jc w:val="center"/>
              <w:rPr>
                <w:rFonts w:ascii="宋体" w:hAnsi="宋体"/>
                <w:sz w:val="24"/>
                <w:szCs w:val="24"/>
              </w:rPr>
            </w:pPr>
            <w:r>
              <w:rPr>
                <w:rFonts w:hint="eastAsia" w:ascii="宋体" w:hAnsi="宋体"/>
                <w:sz w:val="24"/>
                <w:szCs w:val="24"/>
              </w:rPr>
              <w:t>7.1</w:t>
            </w:r>
          </w:p>
        </w:tc>
        <w:tc>
          <w:tcPr>
            <w:tcW w:w="7472" w:type="dxa"/>
            <w:shd w:val="clear" w:color="auto" w:fill="auto"/>
            <w:vAlign w:val="center"/>
          </w:tcPr>
          <w:p>
            <w:pPr>
              <w:spacing w:line="460" w:lineRule="exact"/>
              <w:rPr>
                <w:rFonts w:ascii="宋体" w:hAnsi="宋体"/>
                <w:sz w:val="24"/>
                <w:szCs w:val="24"/>
              </w:rPr>
            </w:pPr>
            <w:r>
              <w:rPr>
                <w:rFonts w:hint="eastAsia" w:ascii="宋体" w:hAnsi="宋体"/>
                <w:sz w:val="24"/>
                <w:szCs w:val="24"/>
              </w:rPr>
              <w:t>与招标方协商后合同约定。</w:t>
            </w:r>
          </w:p>
        </w:tc>
      </w:tr>
    </w:tbl>
    <w:p>
      <w:pPr>
        <w:spacing w:line="460" w:lineRule="exact"/>
        <w:ind w:firstLine="482" w:firstLineChars="200"/>
        <w:rPr>
          <w:rFonts w:ascii="宋体" w:hAnsi="宋体"/>
          <w:b/>
          <w:sz w:val="24"/>
          <w:szCs w:val="24"/>
        </w:rPr>
      </w:pPr>
      <w:bookmarkStart w:id="2" w:name="_GoBack"/>
      <w:bookmarkEnd w:id="2"/>
      <w:r>
        <w:rPr>
          <w:rFonts w:hint="eastAsia" w:ascii="宋体" w:hAnsi="宋体"/>
          <w:b/>
          <w:sz w:val="24"/>
          <w:szCs w:val="24"/>
        </w:rPr>
        <w:t>本表内标有“*”的条款为“实质性要求”条款，对这些条款的任何负偏离都将导致被认定为无效投标。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0N2EzNzUwZmI2ODQyN2ZkY2M1MzJhY2VmYzM1MzkifQ=="/>
  </w:docVars>
  <w:rsids>
    <w:rsidRoot w:val="00D7748D"/>
    <w:rsid w:val="000E315C"/>
    <w:rsid w:val="000F63C9"/>
    <w:rsid w:val="003829C6"/>
    <w:rsid w:val="004361D4"/>
    <w:rsid w:val="00484703"/>
    <w:rsid w:val="006A6B9E"/>
    <w:rsid w:val="007022DC"/>
    <w:rsid w:val="007301EE"/>
    <w:rsid w:val="008A40AF"/>
    <w:rsid w:val="00A56FD8"/>
    <w:rsid w:val="00C94AB8"/>
    <w:rsid w:val="00D7748D"/>
    <w:rsid w:val="00EC2DEA"/>
    <w:rsid w:val="00EF0DAE"/>
    <w:rsid w:val="50523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rFonts w:ascii="Calibri" w:hAnsi="Calibri" w:eastAsia="宋体" w:cs="Times New Roman"/>
      <w:sz w:val="18"/>
      <w:szCs w:val="18"/>
    </w:rPr>
  </w:style>
  <w:style w:type="character" w:customStyle="1" w:styleId="7">
    <w:name w:val="页脚 字符"/>
    <w:basedOn w:val="5"/>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350</Words>
  <Characters>1998</Characters>
  <Lines>16</Lines>
  <Paragraphs>4</Paragraphs>
  <TotalTime>118</TotalTime>
  <ScaleCrop>false</ScaleCrop>
  <LinksUpToDate>false</LinksUpToDate>
  <CharactersWithSpaces>2344</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2023-09-25T06:43:00Z</dcterms:created>
  <dc:creator>Administrator</dc:creator>
  <cp:lastModifiedBy>苏</cp:lastModifiedBy>
  <dcterms:modified xsi:type="dcterms:W3CDTF">2023-10-11T07:46:50Z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66B801CE49DF4D7388EFA572303D5437_12</vt:lpwstr>
  </property>
</Properties>
</file>